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963" w:rsidRDefault="00863963"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8D71BC" w:rsidRPr="00B70130" w:rsidRDefault="008D71BC" w:rsidP="00B70130">
      <w:pPr>
        <w:pStyle w:val="Sinespaciado"/>
        <w:spacing w:line="276" w:lineRule="auto"/>
        <w:jc w:val="center"/>
        <w:rPr>
          <w:rFonts w:ascii="Arial" w:hAnsi="Arial" w:cs="Arial"/>
          <w:b/>
          <w:spacing w:val="-3"/>
          <w:sz w:val="24"/>
          <w:szCs w:val="24"/>
        </w:rPr>
      </w:pPr>
      <w:r w:rsidRPr="00B70130">
        <w:rPr>
          <w:rFonts w:ascii="Arial" w:hAnsi="Arial" w:cs="Arial"/>
          <w:b/>
          <w:sz w:val="24"/>
          <w:szCs w:val="24"/>
        </w:rPr>
        <w:t xml:space="preserve">TEXTO </w:t>
      </w:r>
      <w:r w:rsidR="00B70130">
        <w:rPr>
          <w:rFonts w:ascii="Arial" w:hAnsi="Arial" w:cs="Arial"/>
          <w:b/>
          <w:sz w:val="24"/>
          <w:szCs w:val="24"/>
        </w:rPr>
        <w:t xml:space="preserve">APROBADO EN COMISION PRIMERA DE LA H. CAMARA DE REPRESENTANTES AL </w:t>
      </w:r>
      <w:r w:rsidRPr="00B70130">
        <w:rPr>
          <w:rFonts w:ascii="Arial" w:hAnsi="Arial" w:cs="Arial"/>
          <w:b/>
          <w:sz w:val="24"/>
          <w:szCs w:val="24"/>
        </w:rPr>
        <w:t xml:space="preserve">PROYECTO DE LEY </w:t>
      </w:r>
      <w:r w:rsidRPr="00B70130">
        <w:rPr>
          <w:rFonts w:ascii="Arial" w:hAnsi="Arial" w:cs="Arial"/>
          <w:b/>
          <w:spacing w:val="-3"/>
          <w:sz w:val="24"/>
          <w:szCs w:val="24"/>
        </w:rPr>
        <w:t>ESTATUTARIA No. 108 DE 2014 CÁMARA</w:t>
      </w:r>
      <w:r w:rsidR="00B70130">
        <w:rPr>
          <w:rFonts w:ascii="Arial" w:hAnsi="Arial" w:cs="Arial"/>
          <w:b/>
          <w:spacing w:val="-3"/>
          <w:sz w:val="24"/>
          <w:szCs w:val="24"/>
        </w:rPr>
        <w:t xml:space="preserve"> </w:t>
      </w:r>
      <w:r w:rsidRPr="00B70130">
        <w:rPr>
          <w:rFonts w:ascii="Arial" w:hAnsi="Arial" w:cs="Arial"/>
          <w:spacing w:val="-3"/>
          <w:sz w:val="24"/>
          <w:szCs w:val="24"/>
        </w:rPr>
        <w:t>“</w:t>
      </w:r>
      <w:r w:rsidR="00B70130" w:rsidRPr="00B70130">
        <w:rPr>
          <w:rFonts w:ascii="Arial" w:hAnsi="Arial" w:cs="Arial"/>
          <w:b/>
          <w:spacing w:val="-3"/>
          <w:sz w:val="24"/>
          <w:szCs w:val="24"/>
        </w:rPr>
        <w:t>POR MEDIO DE LA CUAL SE ESTABLECE LA COMPETENCIA, FUNCIONES Y ORGANIZACIÓN DEL TRIBUNAL NACIONAL DE GARANTÍAS CONSTITUCIONALES EN ASUNTOS PENALES Y SE DICTAN OTRAS DISPOSICIONES”</w:t>
      </w:r>
    </w:p>
    <w:p w:rsidR="008D71BC" w:rsidRPr="00B70130" w:rsidRDefault="008D71BC" w:rsidP="008D71B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Arial" w:hAnsi="Arial" w:cs="Arial"/>
          <w:b/>
          <w:spacing w:val="-3"/>
        </w:rPr>
      </w:pPr>
    </w:p>
    <w:p w:rsidR="00B24270" w:rsidRPr="00B70130" w:rsidRDefault="00B24270" w:rsidP="00B24270">
      <w:pPr>
        <w:pStyle w:val="Sinespaciado"/>
        <w:spacing w:line="276" w:lineRule="auto"/>
        <w:jc w:val="center"/>
        <w:rPr>
          <w:rFonts w:ascii="Arial" w:hAnsi="Arial" w:cs="Arial"/>
          <w:b/>
          <w:sz w:val="24"/>
          <w:szCs w:val="24"/>
        </w:rPr>
      </w:pPr>
      <w:r w:rsidRPr="00B70130">
        <w:rPr>
          <w:rFonts w:ascii="Arial" w:hAnsi="Arial" w:cs="Arial"/>
          <w:b/>
          <w:sz w:val="24"/>
          <w:szCs w:val="24"/>
        </w:rPr>
        <w:t>El Congreso de Colombia,</w:t>
      </w:r>
    </w:p>
    <w:p w:rsidR="00B24270" w:rsidRPr="00B70130" w:rsidRDefault="00B24270" w:rsidP="00B24270">
      <w:pPr>
        <w:pStyle w:val="Sinespaciado"/>
        <w:spacing w:line="276" w:lineRule="auto"/>
        <w:jc w:val="center"/>
        <w:rPr>
          <w:rFonts w:ascii="Arial" w:hAnsi="Arial" w:cs="Arial"/>
          <w:b/>
          <w:sz w:val="24"/>
          <w:szCs w:val="24"/>
        </w:rPr>
      </w:pPr>
      <w:r w:rsidRPr="00B70130">
        <w:rPr>
          <w:rFonts w:ascii="Arial" w:hAnsi="Arial" w:cs="Arial"/>
          <w:b/>
          <w:sz w:val="24"/>
          <w:szCs w:val="24"/>
        </w:rPr>
        <w:t>DECRETA:</w:t>
      </w:r>
    </w:p>
    <w:p w:rsidR="00B24270" w:rsidRPr="00B70130" w:rsidRDefault="00B24270" w:rsidP="008D71B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Arial" w:hAnsi="Arial" w:cs="Arial"/>
          <w:b/>
          <w:spacing w:val="-3"/>
        </w:rPr>
      </w:pPr>
    </w:p>
    <w:p w:rsidR="00BB4039" w:rsidRPr="00B70130" w:rsidRDefault="00BB4039" w:rsidP="00403F43">
      <w:pPr>
        <w:pStyle w:val="Sinespaciado"/>
        <w:spacing w:line="276" w:lineRule="auto"/>
        <w:jc w:val="center"/>
        <w:rPr>
          <w:rFonts w:ascii="Arial" w:hAnsi="Arial" w:cs="Arial"/>
          <w:b/>
          <w:sz w:val="24"/>
          <w:szCs w:val="24"/>
          <w:lang w:val="es-CO"/>
        </w:rPr>
      </w:pPr>
      <w:r w:rsidRPr="00B70130">
        <w:rPr>
          <w:rFonts w:ascii="Arial" w:hAnsi="Arial" w:cs="Arial"/>
          <w:b/>
          <w:sz w:val="24"/>
          <w:szCs w:val="24"/>
          <w:lang w:val="es-CO"/>
        </w:rPr>
        <w:t>TÍTULO I</w:t>
      </w:r>
      <w:r w:rsidRPr="00B70130">
        <w:rPr>
          <w:rFonts w:ascii="Arial" w:hAnsi="Arial" w:cs="Arial"/>
          <w:b/>
          <w:sz w:val="24"/>
          <w:szCs w:val="24"/>
          <w:lang w:val="es-CO"/>
        </w:rPr>
        <w:br/>
        <w:t xml:space="preserve">     De la organización y funcionamiento</w:t>
      </w:r>
    </w:p>
    <w:p w:rsidR="00BB4039" w:rsidRPr="00B70130" w:rsidRDefault="00BB4039" w:rsidP="00403F43">
      <w:pPr>
        <w:pStyle w:val="Sinespaciado"/>
        <w:spacing w:line="276" w:lineRule="auto"/>
        <w:jc w:val="both"/>
        <w:rPr>
          <w:rFonts w:ascii="Arial" w:hAnsi="Arial" w:cs="Arial"/>
          <w:sz w:val="24"/>
          <w:szCs w:val="24"/>
          <w:lang w:val="es-CO"/>
        </w:rPr>
      </w:pPr>
    </w:p>
    <w:p w:rsidR="009132C4" w:rsidRPr="00B70130" w:rsidRDefault="009132C4" w:rsidP="009132C4">
      <w:pPr>
        <w:pStyle w:val="Sinespaciado"/>
        <w:spacing w:line="276" w:lineRule="auto"/>
        <w:jc w:val="both"/>
        <w:rPr>
          <w:rFonts w:ascii="Arial" w:hAnsi="Arial" w:cs="Arial"/>
          <w:sz w:val="24"/>
          <w:szCs w:val="24"/>
          <w:lang w:val="es-CO"/>
        </w:rPr>
      </w:pPr>
      <w:bookmarkStart w:id="0" w:name="16"/>
      <w:bookmarkEnd w:id="0"/>
      <w:r w:rsidRPr="00B70130">
        <w:rPr>
          <w:rFonts w:ascii="Arial" w:hAnsi="Arial" w:cs="Arial"/>
          <w:b/>
          <w:sz w:val="24"/>
          <w:szCs w:val="24"/>
          <w:lang w:val="es-CO"/>
        </w:rPr>
        <w:t>ARTÍCULO 1°. Competencia.</w:t>
      </w:r>
      <w:r w:rsidRPr="00B70130">
        <w:rPr>
          <w:rFonts w:ascii="Arial" w:hAnsi="Arial" w:cs="Arial"/>
          <w:sz w:val="24"/>
          <w:szCs w:val="24"/>
          <w:lang w:val="es-CO"/>
        </w:rPr>
        <w:t xml:space="preserve"> El Tribunal Nacional de Garantías Constitucionales en Asuntos Penales tendrá competencia en todo el territorio nacional, en la jurisdicción penal ordinaria y en la jurisdicción penal militar,  en lo relativo a garantías penales y control de legalidad.</w:t>
      </w:r>
    </w:p>
    <w:p w:rsidR="00880366" w:rsidRPr="00B70130" w:rsidRDefault="00880366" w:rsidP="00403F43">
      <w:pPr>
        <w:pStyle w:val="Sinespaciado"/>
        <w:spacing w:line="276" w:lineRule="auto"/>
        <w:jc w:val="both"/>
        <w:rPr>
          <w:rFonts w:ascii="Arial" w:hAnsi="Arial" w:cs="Arial"/>
          <w:sz w:val="24"/>
          <w:szCs w:val="24"/>
          <w:lang w:val="es-CO"/>
        </w:rPr>
      </w:pPr>
    </w:p>
    <w:p w:rsidR="00BB4039" w:rsidRPr="00B70130" w:rsidRDefault="00403F43" w:rsidP="00403F43">
      <w:pPr>
        <w:pStyle w:val="Sinespaciado"/>
        <w:spacing w:line="276" w:lineRule="auto"/>
        <w:jc w:val="both"/>
        <w:rPr>
          <w:rFonts w:ascii="Arial" w:hAnsi="Arial" w:cs="Arial"/>
          <w:sz w:val="24"/>
          <w:szCs w:val="24"/>
          <w:lang w:val="es-CO"/>
        </w:rPr>
      </w:pPr>
      <w:r w:rsidRPr="00B70130">
        <w:rPr>
          <w:rFonts w:ascii="Arial" w:hAnsi="Arial" w:cs="Arial"/>
          <w:b/>
          <w:sz w:val="24"/>
          <w:szCs w:val="24"/>
          <w:lang w:val="es-CO"/>
        </w:rPr>
        <w:t>ARTÍCULO 2º.</w:t>
      </w:r>
      <w:r w:rsidR="00BB4039" w:rsidRPr="00B70130">
        <w:rPr>
          <w:rFonts w:ascii="Arial" w:hAnsi="Arial" w:cs="Arial"/>
          <w:b/>
          <w:sz w:val="24"/>
          <w:szCs w:val="24"/>
          <w:lang w:val="es-CO"/>
        </w:rPr>
        <w:t xml:space="preserve"> Concepto.</w:t>
      </w:r>
      <w:r w:rsidR="00BB4039" w:rsidRPr="00B70130">
        <w:rPr>
          <w:rFonts w:ascii="Arial" w:hAnsi="Arial" w:cs="Arial"/>
          <w:sz w:val="24"/>
          <w:szCs w:val="24"/>
          <w:lang w:val="es-CO"/>
        </w:rPr>
        <w:t xml:space="preserve"> El Tribunal Nacional de Garantías Constitucionales es un órgano jurisdiccional especial e independiente cuya función es servir como máxima autoridad en materia de garantías penales y control de legalidad. A su vez, fungirá como juez de control de garantías en las investigaciones o procesos penales </w:t>
      </w:r>
      <w:proofErr w:type="gramStart"/>
      <w:r w:rsidR="00BB4039" w:rsidRPr="00B70130">
        <w:rPr>
          <w:rFonts w:ascii="Arial" w:hAnsi="Arial" w:cs="Arial"/>
          <w:sz w:val="24"/>
          <w:szCs w:val="24"/>
          <w:lang w:val="es-CO"/>
        </w:rPr>
        <w:t>que</w:t>
      </w:r>
      <w:proofErr w:type="gramEnd"/>
      <w:r w:rsidR="00BB4039" w:rsidRPr="00B70130">
        <w:rPr>
          <w:rFonts w:ascii="Arial" w:hAnsi="Arial" w:cs="Arial"/>
          <w:sz w:val="24"/>
          <w:szCs w:val="24"/>
          <w:lang w:val="es-CO"/>
        </w:rPr>
        <w:t xml:space="preserve"> le sean asignados por la ley, sin perjuicio de las demás funciones y tareas que el Legislador someta a su conocimiento.</w:t>
      </w:r>
    </w:p>
    <w:p w:rsidR="00BB4039" w:rsidRPr="00B70130" w:rsidRDefault="00BB4039" w:rsidP="00403F43">
      <w:pPr>
        <w:pStyle w:val="Sinespaciado"/>
        <w:spacing w:line="276" w:lineRule="auto"/>
        <w:jc w:val="both"/>
        <w:rPr>
          <w:rFonts w:ascii="Arial" w:hAnsi="Arial" w:cs="Arial"/>
          <w:sz w:val="24"/>
          <w:szCs w:val="24"/>
          <w:lang w:val="es-CO"/>
        </w:rPr>
      </w:pPr>
    </w:p>
    <w:p w:rsidR="00BB4039" w:rsidRPr="00B70130" w:rsidRDefault="00BB4039" w:rsidP="00403F43">
      <w:pPr>
        <w:pStyle w:val="Sinespaciado"/>
        <w:spacing w:line="276" w:lineRule="auto"/>
        <w:jc w:val="both"/>
        <w:rPr>
          <w:rFonts w:ascii="Arial" w:hAnsi="Arial" w:cs="Arial"/>
          <w:sz w:val="24"/>
          <w:szCs w:val="24"/>
          <w:lang w:val="es-CO"/>
        </w:rPr>
      </w:pPr>
      <w:r w:rsidRPr="00B70130">
        <w:rPr>
          <w:rFonts w:ascii="Arial" w:hAnsi="Arial" w:cs="Arial"/>
          <w:sz w:val="24"/>
          <w:szCs w:val="24"/>
          <w:lang w:val="es-CO"/>
        </w:rPr>
        <w:t>El Tribunal Nacional de Garantías Constitucionales en Asuntos Penales formará parte de la rama judicial del poder público y tendrá la estructura, organización y competencia que la presente ley establece.</w:t>
      </w:r>
    </w:p>
    <w:p w:rsidR="00BB4039" w:rsidRPr="00B70130" w:rsidRDefault="00BB4039" w:rsidP="00403F43">
      <w:pPr>
        <w:pStyle w:val="Sinespaciado"/>
        <w:spacing w:line="276" w:lineRule="auto"/>
        <w:jc w:val="both"/>
        <w:rPr>
          <w:rFonts w:ascii="Arial" w:hAnsi="Arial" w:cs="Arial"/>
          <w:sz w:val="24"/>
          <w:szCs w:val="24"/>
          <w:lang w:val="es-CO"/>
        </w:rPr>
      </w:pPr>
    </w:p>
    <w:p w:rsidR="00BB4039" w:rsidRPr="00B70130" w:rsidRDefault="00403F43" w:rsidP="00403F43">
      <w:pPr>
        <w:pStyle w:val="Sinespaciado"/>
        <w:spacing w:line="276" w:lineRule="auto"/>
        <w:jc w:val="both"/>
        <w:rPr>
          <w:rFonts w:ascii="Arial" w:hAnsi="Arial" w:cs="Arial"/>
          <w:sz w:val="24"/>
          <w:szCs w:val="24"/>
        </w:rPr>
      </w:pPr>
      <w:r w:rsidRPr="00B70130">
        <w:rPr>
          <w:rFonts w:ascii="Arial" w:hAnsi="Arial" w:cs="Arial"/>
          <w:b/>
          <w:bCs/>
          <w:sz w:val="24"/>
          <w:szCs w:val="24"/>
        </w:rPr>
        <w:t>ARTÍCULO 3º.</w:t>
      </w:r>
      <w:r w:rsidR="00BB4039" w:rsidRPr="00B70130">
        <w:rPr>
          <w:rFonts w:ascii="Arial" w:hAnsi="Arial" w:cs="Arial"/>
          <w:b/>
          <w:bCs/>
          <w:sz w:val="24"/>
          <w:szCs w:val="24"/>
        </w:rPr>
        <w:t xml:space="preserve"> Funciones.</w:t>
      </w:r>
      <w:r w:rsidR="00BB4039" w:rsidRPr="00B70130">
        <w:rPr>
          <w:rFonts w:ascii="Arial" w:hAnsi="Arial" w:cs="Arial"/>
          <w:bCs/>
          <w:sz w:val="24"/>
          <w:szCs w:val="24"/>
        </w:rPr>
        <w:t xml:space="preserve"> </w:t>
      </w:r>
      <w:r w:rsidR="00BB4039" w:rsidRPr="00B70130">
        <w:rPr>
          <w:rFonts w:ascii="Arial" w:hAnsi="Arial" w:cs="Arial"/>
          <w:sz w:val="24"/>
          <w:szCs w:val="24"/>
        </w:rPr>
        <w:t xml:space="preserve">Sin perjuicio de las competencias de la Corte Constitucional como guardián Supremo de la Constitución y de la Sala Penal de la Corte Suprema de Justicia como máximo Tribunal de cierre hermenéutico de la </w:t>
      </w:r>
      <w:r w:rsidR="00BB4039" w:rsidRPr="00B70130">
        <w:rPr>
          <w:rFonts w:ascii="Arial" w:hAnsi="Arial" w:cs="Arial"/>
          <w:sz w:val="24"/>
          <w:szCs w:val="24"/>
        </w:rPr>
        <w:lastRenderedPageBreak/>
        <w:t>jurisdicción ordinaria, el Tribunal Nacional de Garantías Constitucionales Penales tendrá las siguientes funciones:</w:t>
      </w:r>
    </w:p>
    <w:p w:rsidR="00403F43" w:rsidRPr="00B70130" w:rsidRDefault="00403F43" w:rsidP="00403F43">
      <w:pPr>
        <w:pStyle w:val="Sinespaciado"/>
        <w:spacing w:line="276" w:lineRule="auto"/>
        <w:jc w:val="both"/>
        <w:rPr>
          <w:rFonts w:ascii="Arial" w:hAnsi="Arial" w:cs="Arial"/>
          <w:sz w:val="24"/>
          <w:szCs w:val="24"/>
        </w:rPr>
      </w:pPr>
    </w:p>
    <w:p w:rsidR="00BB4039" w:rsidRPr="00B70130" w:rsidRDefault="00BB4039" w:rsidP="00403F43">
      <w:pPr>
        <w:pStyle w:val="Sinespaciado"/>
        <w:spacing w:line="276" w:lineRule="auto"/>
        <w:jc w:val="both"/>
        <w:rPr>
          <w:rFonts w:ascii="Arial" w:hAnsi="Arial" w:cs="Arial"/>
          <w:sz w:val="24"/>
          <w:szCs w:val="24"/>
        </w:rPr>
      </w:pPr>
      <w:r w:rsidRPr="00B70130">
        <w:rPr>
          <w:rFonts w:ascii="Arial" w:hAnsi="Arial" w:cs="Arial"/>
          <w:bCs/>
          <w:sz w:val="24"/>
          <w:szCs w:val="24"/>
        </w:rPr>
        <w:t>1.</w:t>
      </w:r>
      <w:r w:rsidRPr="00B70130">
        <w:rPr>
          <w:rFonts w:ascii="Arial" w:hAnsi="Arial" w:cs="Arial"/>
          <w:sz w:val="24"/>
          <w:szCs w:val="24"/>
        </w:rPr>
        <w:t xml:space="preserve"> Servir eventualmente de juez de control de garantías en cualquier investigación o proceso penal que se siga contra un aforado constitucional o legal.</w:t>
      </w:r>
    </w:p>
    <w:p w:rsidR="00403F43" w:rsidRPr="00B70130" w:rsidRDefault="00403F43" w:rsidP="00403F43">
      <w:pPr>
        <w:pStyle w:val="Sinespaciado"/>
        <w:spacing w:line="276" w:lineRule="auto"/>
        <w:jc w:val="both"/>
        <w:rPr>
          <w:rFonts w:ascii="Arial" w:hAnsi="Arial" w:cs="Arial"/>
          <w:sz w:val="24"/>
          <w:szCs w:val="24"/>
        </w:rPr>
      </w:pPr>
    </w:p>
    <w:p w:rsidR="00BB4039" w:rsidRPr="00B70130" w:rsidRDefault="00BB4039" w:rsidP="00403F43">
      <w:pPr>
        <w:pStyle w:val="Sinespaciado"/>
        <w:spacing w:line="276" w:lineRule="auto"/>
        <w:jc w:val="both"/>
        <w:rPr>
          <w:rFonts w:ascii="Arial" w:hAnsi="Arial" w:cs="Arial"/>
          <w:sz w:val="24"/>
          <w:szCs w:val="24"/>
        </w:rPr>
      </w:pPr>
      <w:r w:rsidRPr="00B70130">
        <w:rPr>
          <w:rFonts w:ascii="Arial" w:hAnsi="Arial" w:cs="Arial"/>
          <w:bCs/>
          <w:sz w:val="24"/>
          <w:szCs w:val="24"/>
        </w:rPr>
        <w:t>2.</w:t>
      </w:r>
      <w:r w:rsidRPr="00B70130">
        <w:rPr>
          <w:rFonts w:ascii="Arial" w:hAnsi="Arial" w:cs="Arial"/>
          <w:sz w:val="24"/>
          <w:szCs w:val="24"/>
        </w:rPr>
        <w:t xml:space="preserve"> Unificar la jurisprudencia en materia de garantías penales y control de legalidad. </w:t>
      </w:r>
    </w:p>
    <w:p w:rsidR="00403F43" w:rsidRPr="00B70130" w:rsidRDefault="00403F43" w:rsidP="00403F43">
      <w:pPr>
        <w:pStyle w:val="Sinespaciado"/>
        <w:spacing w:line="276" w:lineRule="auto"/>
        <w:jc w:val="both"/>
        <w:rPr>
          <w:rFonts w:ascii="Arial" w:hAnsi="Arial" w:cs="Arial"/>
          <w:sz w:val="24"/>
          <w:szCs w:val="24"/>
        </w:rPr>
      </w:pPr>
    </w:p>
    <w:p w:rsidR="00BB4039" w:rsidRPr="00B70130" w:rsidRDefault="00BB4039" w:rsidP="00403F43">
      <w:pPr>
        <w:pStyle w:val="Sinespaciado"/>
        <w:spacing w:line="276" w:lineRule="auto"/>
        <w:jc w:val="both"/>
        <w:rPr>
          <w:rFonts w:ascii="Arial" w:hAnsi="Arial" w:cs="Arial"/>
          <w:sz w:val="24"/>
          <w:szCs w:val="24"/>
        </w:rPr>
      </w:pPr>
      <w:r w:rsidRPr="00B70130">
        <w:rPr>
          <w:rFonts w:ascii="Arial" w:hAnsi="Arial" w:cs="Arial"/>
          <w:bCs/>
          <w:sz w:val="24"/>
          <w:szCs w:val="24"/>
        </w:rPr>
        <w:t>3.</w:t>
      </w:r>
      <w:r w:rsidRPr="00B70130">
        <w:rPr>
          <w:rFonts w:ascii="Arial" w:hAnsi="Arial" w:cs="Arial"/>
          <w:sz w:val="24"/>
          <w:szCs w:val="24"/>
        </w:rPr>
        <w:t xml:space="preserve"> Seleccionar para eventual revisión las decisiones adoptadas por cualquier juez o tribunal que ejerza funciones de control de garantías, con el objeto de proteger los derechos fundamentales, unificar jurisprudencia, realizar la justicia material e irradiar el efecto de los derechos fundamentales en todo el proceso penal. </w:t>
      </w:r>
    </w:p>
    <w:p w:rsidR="00403F43" w:rsidRPr="00B70130" w:rsidRDefault="00403F43" w:rsidP="00403F43">
      <w:pPr>
        <w:pStyle w:val="Sinespaciado"/>
        <w:spacing w:line="276" w:lineRule="auto"/>
        <w:jc w:val="both"/>
        <w:rPr>
          <w:rFonts w:ascii="Arial" w:hAnsi="Arial" w:cs="Arial"/>
          <w:sz w:val="24"/>
          <w:szCs w:val="24"/>
        </w:rPr>
      </w:pPr>
    </w:p>
    <w:p w:rsidR="00BB4039" w:rsidRPr="00B70130" w:rsidRDefault="00BB4039" w:rsidP="00403F43">
      <w:pPr>
        <w:pStyle w:val="Sinespaciado"/>
        <w:spacing w:line="276" w:lineRule="auto"/>
        <w:jc w:val="both"/>
        <w:rPr>
          <w:rFonts w:ascii="Arial" w:hAnsi="Arial" w:cs="Arial"/>
          <w:sz w:val="24"/>
          <w:szCs w:val="24"/>
        </w:rPr>
      </w:pPr>
      <w:r w:rsidRPr="00B70130">
        <w:rPr>
          <w:rFonts w:ascii="Arial" w:hAnsi="Arial" w:cs="Arial"/>
          <w:bCs/>
          <w:sz w:val="24"/>
          <w:szCs w:val="24"/>
        </w:rPr>
        <w:t>4.</w:t>
      </w:r>
      <w:r w:rsidRPr="00B70130">
        <w:rPr>
          <w:rFonts w:ascii="Arial" w:hAnsi="Arial" w:cs="Arial"/>
          <w:sz w:val="24"/>
          <w:szCs w:val="24"/>
        </w:rPr>
        <w:t xml:space="preserve"> Proferir sentencias interpretativas en los términos de esta Ley.</w:t>
      </w:r>
    </w:p>
    <w:p w:rsidR="00403F43" w:rsidRPr="00B70130" w:rsidRDefault="00403F43" w:rsidP="00403F43">
      <w:pPr>
        <w:pStyle w:val="Sinespaciado"/>
        <w:spacing w:line="276" w:lineRule="auto"/>
        <w:jc w:val="both"/>
        <w:rPr>
          <w:rFonts w:ascii="Arial" w:hAnsi="Arial" w:cs="Arial"/>
          <w:sz w:val="24"/>
          <w:szCs w:val="24"/>
        </w:rPr>
      </w:pPr>
    </w:p>
    <w:p w:rsidR="00BB4039" w:rsidRPr="00B70130" w:rsidRDefault="00BB4039" w:rsidP="00403F43">
      <w:pPr>
        <w:pStyle w:val="Sinespaciado"/>
        <w:spacing w:line="276" w:lineRule="auto"/>
        <w:jc w:val="both"/>
        <w:rPr>
          <w:rFonts w:ascii="Arial" w:hAnsi="Arial" w:cs="Arial"/>
          <w:sz w:val="24"/>
          <w:szCs w:val="24"/>
        </w:rPr>
      </w:pPr>
      <w:r w:rsidRPr="00B70130">
        <w:rPr>
          <w:rFonts w:ascii="Arial" w:hAnsi="Arial" w:cs="Arial"/>
          <w:bCs/>
          <w:sz w:val="24"/>
          <w:szCs w:val="24"/>
        </w:rPr>
        <w:t>5.</w:t>
      </w:r>
      <w:r w:rsidRPr="00B70130">
        <w:rPr>
          <w:rFonts w:ascii="Arial" w:hAnsi="Arial" w:cs="Arial"/>
          <w:sz w:val="24"/>
          <w:szCs w:val="24"/>
        </w:rPr>
        <w:t xml:space="preserve"> Desplazar discrecionalmente a cualquier juez de control de garantías, cuando las circunstancias del caso lo ameriten o para realizar la justicia material. </w:t>
      </w:r>
    </w:p>
    <w:p w:rsidR="00403F43" w:rsidRPr="00B70130" w:rsidRDefault="00403F43" w:rsidP="00403F43">
      <w:pPr>
        <w:pStyle w:val="Sinespaciado"/>
        <w:spacing w:line="276" w:lineRule="auto"/>
        <w:jc w:val="both"/>
        <w:rPr>
          <w:rFonts w:ascii="Arial" w:hAnsi="Arial" w:cs="Arial"/>
          <w:sz w:val="24"/>
          <w:szCs w:val="24"/>
        </w:rPr>
      </w:pPr>
    </w:p>
    <w:p w:rsidR="00BB4039" w:rsidRPr="00B70130" w:rsidRDefault="00BB4039" w:rsidP="00403F43">
      <w:pPr>
        <w:pStyle w:val="Sinespaciado"/>
        <w:spacing w:line="276" w:lineRule="auto"/>
        <w:jc w:val="both"/>
        <w:rPr>
          <w:rFonts w:ascii="Arial" w:hAnsi="Arial" w:cs="Arial"/>
          <w:sz w:val="24"/>
          <w:szCs w:val="24"/>
        </w:rPr>
      </w:pPr>
      <w:r w:rsidRPr="00B70130">
        <w:rPr>
          <w:rFonts w:ascii="Arial" w:hAnsi="Arial" w:cs="Arial"/>
          <w:bCs/>
          <w:sz w:val="24"/>
          <w:szCs w:val="24"/>
        </w:rPr>
        <w:t>6.</w:t>
      </w:r>
      <w:r w:rsidRPr="00B70130">
        <w:rPr>
          <w:rFonts w:ascii="Arial" w:hAnsi="Arial" w:cs="Arial"/>
          <w:sz w:val="24"/>
          <w:szCs w:val="24"/>
        </w:rPr>
        <w:t xml:space="preserve"> Modular los efectos de sus fallos. </w:t>
      </w:r>
    </w:p>
    <w:p w:rsidR="00403F43" w:rsidRPr="00B70130" w:rsidRDefault="00403F43" w:rsidP="00403F43">
      <w:pPr>
        <w:pStyle w:val="Sinespaciado"/>
        <w:spacing w:line="276" w:lineRule="auto"/>
        <w:jc w:val="both"/>
        <w:rPr>
          <w:rFonts w:ascii="Arial" w:hAnsi="Arial" w:cs="Arial"/>
          <w:sz w:val="24"/>
          <w:szCs w:val="24"/>
        </w:rPr>
      </w:pPr>
    </w:p>
    <w:p w:rsidR="00BB4039" w:rsidRPr="00B70130" w:rsidRDefault="00BB4039" w:rsidP="00403F43">
      <w:pPr>
        <w:pStyle w:val="Sinespaciado"/>
        <w:spacing w:line="276" w:lineRule="auto"/>
        <w:jc w:val="both"/>
        <w:rPr>
          <w:rFonts w:ascii="Arial" w:hAnsi="Arial" w:cs="Arial"/>
          <w:sz w:val="24"/>
          <w:szCs w:val="24"/>
        </w:rPr>
      </w:pPr>
      <w:r w:rsidRPr="00B70130">
        <w:rPr>
          <w:rFonts w:ascii="Arial" w:hAnsi="Arial" w:cs="Arial"/>
          <w:bCs/>
          <w:sz w:val="24"/>
          <w:szCs w:val="24"/>
        </w:rPr>
        <w:t>7.</w:t>
      </w:r>
      <w:r w:rsidRPr="00B70130">
        <w:rPr>
          <w:rFonts w:ascii="Arial" w:hAnsi="Arial" w:cs="Arial"/>
          <w:sz w:val="24"/>
          <w:szCs w:val="24"/>
        </w:rPr>
        <w:t xml:space="preserve"> Realizar eventualmente el control material de la acusación que efectúe l</w:t>
      </w:r>
      <w:r w:rsidR="009132C4" w:rsidRPr="00B70130">
        <w:rPr>
          <w:rFonts w:ascii="Arial" w:hAnsi="Arial" w:cs="Arial"/>
          <w:sz w:val="24"/>
          <w:szCs w:val="24"/>
        </w:rPr>
        <w:t>a Fiscalía General de la Nación o la Fiscalía General Penal Militar.</w:t>
      </w:r>
    </w:p>
    <w:p w:rsidR="00403F43" w:rsidRPr="00B70130" w:rsidRDefault="00403F43" w:rsidP="00403F43">
      <w:pPr>
        <w:pStyle w:val="Sinespaciado"/>
        <w:spacing w:line="276" w:lineRule="auto"/>
        <w:jc w:val="both"/>
        <w:rPr>
          <w:rFonts w:ascii="Arial" w:hAnsi="Arial" w:cs="Arial"/>
          <w:sz w:val="24"/>
          <w:szCs w:val="24"/>
        </w:rPr>
      </w:pPr>
    </w:p>
    <w:p w:rsidR="00BB4039" w:rsidRPr="00B70130" w:rsidRDefault="00BB4039" w:rsidP="00403F43">
      <w:pPr>
        <w:pStyle w:val="Sinespaciado"/>
        <w:spacing w:line="276" w:lineRule="auto"/>
        <w:jc w:val="both"/>
        <w:rPr>
          <w:rFonts w:ascii="Arial" w:hAnsi="Arial" w:cs="Arial"/>
          <w:sz w:val="24"/>
          <w:szCs w:val="24"/>
        </w:rPr>
      </w:pPr>
      <w:r w:rsidRPr="00B70130">
        <w:rPr>
          <w:rFonts w:ascii="Arial" w:hAnsi="Arial" w:cs="Arial"/>
          <w:bCs/>
          <w:sz w:val="24"/>
          <w:szCs w:val="24"/>
        </w:rPr>
        <w:t>8.</w:t>
      </w:r>
      <w:r w:rsidRPr="00B70130">
        <w:rPr>
          <w:rFonts w:ascii="Arial" w:hAnsi="Arial" w:cs="Arial"/>
          <w:sz w:val="24"/>
          <w:szCs w:val="24"/>
        </w:rPr>
        <w:t xml:space="preserve"> Darse su propio reglamento. </w:t>
      </w:r>
    </w:p>
    <w:p w:rsidR="00403F43" w:rsidRPr="00B70130" w:rsidRDefault="00403F43" w:rsidP="00403F43">
      <w:pPr>
        <w:pStyle w:val="Sinespaciado"/>
        <w:spacing w:line="276" w:lineRule="auto"/>
        <w:jc w:val="both"/>
        <w:rPr>
          <w:rFonts w:ascii="Arial" w:hAnsi="Arial" w:cs="Arial"/>
          <w:sz w:val="24"/>
          <w:szCs w:val="24"/>
        </w:rPr>
      </w:pPr>
    </w:p>
    <w:p w:rsidR="00BB4039" w:rsidRPr="00B70130" w:rsidRDefault="00BB4039" w:rsidP="00403F43">
      <w:pPr>
        <w:pStyle w:val="Sinespaciado"/>
        <w:spacing w:line="276" w:lineRule="auto"/>
        <w:jc w:val="both"/>
        <w:rPr>
          <w:rFonts w:ascii="Arial" w:hAnsi="Arial" w:cs="Arial"/>
          <w:sz w:val="24"/>
          <w:szCs w:val="24"/>
        </w:rPr>
      </w:pPr>
      <w:r w:rsidRPr="00B70130">
        <w:rPr>
          <w:rFonts w:ascii="Arial" w:hAnsi="Arial" w:cs="Arial"/>
          <w:bCs/>
          <w:sz w:val="24"/>
          <w:szCs w:val="24"/>
        </w:rPr>
        <w:t>9.</w:t>
      </w:r>
      <w:r w:rsidRPr="00B70130">
        <w:rPr>
          <w:rFonts w:ascii="Arial" w:hAnsi="Arial" w:cs="Arial"/>
          <w:sz w:val="24"/>
          <w:szCs w:val="24"/>
        </w:rPr>
        <w:t xml:space="preserve"> Las demás atribuciones que le asigne la ley.</w:t>
      </w:r>
    </w:p>
    <w:p w:rsidR="00BB4039" w:rsidRPr="00B70130" w:rsidRDefault="00BB4039" w:rsidP="00403F43">
      <w:pPr>
        <w:pStyle w:val="Sinespaciado"/>
        <w:spacing w:line="276" w:lineRule="auto"/>
        <w:jc w:val="both"/>
        <w:rPr>
          <w:rFonts w:ascii="Arial" w:hAnsi="Arial" w:cs="Arial"/>
          <w:bCs/>
          <w:sz w:val="24"/>
          <w:szCs w:val="24"/>
          <w:lang w:val="es-CO"/>
        </w:rPr>
      </w:pPr>
    </w:p>
    <w:p w:rsidR="00BB4039" w:rsidRPr="00B70130" w:rsidRDefault="00BB4039" w:rsidP="00403F43">
      <w:pPr>
        <w:pStyle w:val="Sinespaciado"/>
        <w:spacing w:line="276" w:lineRule="auto"/>
        <w:jc w:val="center"/>
        <w:rPr>
          <w:rFonts w:ascii="Arial" w:hAnsi="Arial" w:cs="Arial"/>
          <w:b/>
          <w:bCs/>
          <w:sz w:val="24"/>
          <w:szCs w:val="24"/>
          <w:lang w:val="es-CO"/>
        </w:rPr>
      </w:pPr>
      <w:r w:rsidRPr="00B70130">
        <w:rPr>
          <w:rFonts w:ascii="Arial" w:hAnsi="Arial" w:cs="Arial"/>
          <w:b/>
          <w:bCs/>
          <w:sz w:val="24"/>
          <w:szCs w:val="24"/>
          <w:lang w:val="es-CO"/>
        </w:rPr>
        <w:t>TÍTULO II</w:t>
      </w:r>
    </w:p>
    <w:p w:rsidR="00BB4039" w:rsidRPr="00B70130" w:rsidRDefault="00BB4039" w:rsidP="00403F43">
      <w:pPr>
        <w:pStyle w:val="Sinespaciado"/>
        <w:spacing w:line="276" w:lineRule="auto"/>
        <w:jc w:val="center"/>
        <w:rPr>
          <w:rFonts w:ascii="Arial" w:hAnsi="Arial" w:cs="Arial"/>
          <w:b/>
          <w:sz w:val="24"/>
          <w:szCs w:val="24"/>
          <w:lang w:val="es-CO"/>
        </w:rPr>
      </w:pPr>
      <w:r w:rsidRPr="00B70130">
        <w:rPr>
          <w:rFonts w:ascii="Arial" w:hAnsi="Arial" w:cs="Arial"/>
          <w:b/>
          <w:bCs/>
          <w:sz w:val="24"/>
          <w:szCs w:val="24"/>
          <w:lang w:val="es-CO"/>
        </w:rPr>
        <w:t>La revisión de las providencias y sentencias interpretativas</w:t>
      </w:r>
    </w:p>
    <w:p w:rsidR="00BB4039" w:rsidRPr="00B70130" w:rsidRDefault="00BB4039" w:rsidP="00403F43">
      <w:pPr>
        <w:pStyle w:val="Sinespaciado"/>
        <w:spacing w:line="276" w:lineRule="auto"/>
        <w:jc w:val="both"/>
        <w:rPr>
          <w:rFonts w:ascii="Arial" w:hAnsi="Arial" w:cs="Arial"/>
          <w:sz w:val="24"/>
          <w:szCs w:val="24"/>
          <w:lang w:val="es-CO"/>
        </w:rPr>
      </w:pPr>
      <w:r w:rsidRPr="00B70130">
        <w:rPr>
          <w:rFonts w:ascii="Arial" w:hAnsi="Arial" w:cs="Arial"/>
          <w:sz w:val="24"/>
          <w:szCs w:val="24"/>
          <w:lang w:val="es-CO"/>
        </w:rPr>
        <w:t> </w:t>
      </w:r>
    </w:p>
    <w:p w:rsidR="00BB4039" w:rsidRPr="00B70130" w:rsidRDefault="00403F43" w:rsidP="00403F43">
      <w:pPr>
        <w:pStyle w:val="Sinespaciado"/>
        <w:spacing w:line="276" w:lineRule="auto"/>
        <w:jc w:val="both"/>
        <w:rPr>
          <w:rFonts w:ascii="Arial" w:hAnsi="Arial" w:cs="Arial"/>
          <w:sz w:val="24"/>
          <w:szCs w:val="24"/>
          <w:lang w:val="es-CO"/>
        </w:rPr>
      </w:pPr>
      <w:r w:rsidRPr="00B70130">
        <w:rPr>
          <w:rFonts w:ascii="Arial" w:hAnsi="Arial" w:cs="Arial"/>
          <w:b/>
          <w:sz w:val="24"/>
          <w:szCs w:val="24"/>
          <w:lang w:val="es-CO"/>
        </w:rPr>
        <w:t xml:space="preserve">ARTÍCULO </w:t>
      </w:r>
      <w:r w:rsidR="00BB4039" w:rsidRPr="00B70130">
        <w:rPr>
          <w:rFonts w:ascii="Arial" w:hAnsi="Arial" w:cs="Arial"/>
          <w:b/>
          <w:sz w:val="24"/>
          <w:szCs w:val="24"/>
          <w:lang w:val="es-CO"/>
        </w:rPr>
        <w:t>4°</w:t>
      </w:r>
      <w:r w:rsidRPr="00B70130">
        <w:rPr>
          <w:rFonts w:ascii="Arial" w:hAnsi="Arial" w:cs="Arial"/>
          <w:b/>
          <w:sz w:val="24"/>
          <w:szCs w:val="24"/>
          <w:lang w:val="es-CO"/>
        </w:rPr>
        <w:t>.</w:t>
      </w:r>
      <w:r w:rsidR="00BB4039" w:rsidRPr="00B70130">
        <w:rPr>
          <w:rFonts w:ascii="Arial" w:hAnsi="Arial" w:cs="Arial"/>
          <w:b/>
          <w:sz w:val="24"/>
          <w:szCs w:val="24"/>
          <w:lang w:val="es-CO"/>
        </w:rPr>
        <w:t xml:space="preserve"> Revisión.</w:t>
      </w:r>
      <w:r w:rsidR="00BB4039" w:rsidRPr="00B70130">
        <w:rPr>
          <w:rFonts w:ascii="Arial" w:hAnsi="Arial" w:cs="Arial"/>
          <w:sz w:val="24"/>
          <w:szCs w:val="24"/>
          <w:lang w:val="es-CO"/>
        </w:rPr>
        <w:t xml:space="preserve"> Es facultad de los magistrados del Tribunal Nacional de Garantías Constitucionales en Asuntos Penales escoger de forma discrecional las providencias que serán objeto de revisión, con el fin de unificar jurisprudencia y </w:t>
      </w:r>
      <w:r w:rsidR="00BB4039" w:rsidRPr="00B70130">
        <w:rPr>
          <w:rFonts w:ascii="Arial" w:hAnsi="Arial" w:cs="Arial"/>
          <w:sz w:val="24"/>
          <w:szCs w:val="24"/>
          <w:lang w:val="es-CO"/>
        </w:rPr>
        <w:lastRenderedPageBreak/>
        <w:t xml:space="preserve">proteger e irradiar el efecto de los derechos fundamentales en todo el proceso penal o realizar la justicia material. </w:t>
      </w:r>
    </w:p>
    <w:p w:rsidR="00BB4039" w:rsidRPr="00B70130" w:rsidRDefault="00BB4039" w:rsidP="00403F43">
      <w:pPr>
        <w:pStyle w:val="Sinespaciado"/>
        <w:spacing w:line="276" w:lineRule="auto"/>
        <w:jc w:val="both"/>
        <w:rPr>
          <w:rFonts w:ascii="Arial" w:hAnsi="Arial" w:cs="Arial"/>
          <w:sz w:val="24"/>
          <w:szCs w:val="24"/>
          <w:lang w:val="es-CO"/>
        </w:rPr>
      </w:pPr>
    </w:p>
    <w:p w:rsidR="00BB4039" w:rsidRPr="00B70130" w:rsidRDefault="00BB4039" w:rsidP="00403F43">
      <w:pPr>
        <w:pStyle w:val="Sinespaciado"/>
        <w:spacing w:line="276" w:lineRule="auto"/>
        <w:jc w:val="both"/>
        <w:rPr>
          <w:rFonts w:ascii="Arial" w:hAnsi="Arial" w:cs="Arial"/>
          <w:sz w:val="24"/>
          <w:szCs w:val="24"/>
          <w:lang w:val="es-CO"/>
        </w:rPr>
      </w:pPr>
      <w:r w:rsidRPr="00B70130">
        <w:rPr>
          <w:rFonts w:ascii="Arial" w:hAnsi="Arial" w:cs="Arial"/>
          <w:sz w:val="24"/>
          <w:szCs w:val="24"/>
          <w:lang w:val="es-CO"/>
        </w:rPr>
        <w:t xml:space="preserve">Sin perjuicio de ello, también podrán solicitar la selección de estos asuntos, cualquier magistrado titular directamente, el Fiscal General de la Nación, </w:t>
      </w:r>
      <w:r w:rsidR="009132C4" w:rsidRPr="00B70130">
        <w:rPr>
          <w:rFonts w:ascii="Arial" w:hAnsi="Arial" w:cs="Arial"/>
          <w:sz w:val="24"/>
          <w:szCs w:val="24"/>
          <w:lang w:val="es-CO"/>
        </w:rPr>
        <w:t xml:space="preserve">el Fiscal General Penal Militar, </w:t>
      </w:r>
      <w:r w:rsidRPr="00B70130">
        <w:rPr>
          <w:rFonts w:ascii="Arial" w:hAnsi="Arial" w:cs="Arial"/>
          <w:sz w:val="24"/>
          <w:szCs w:val="24"/>
          <w:lang w:val="es-CO"/>
        </w:rPr>
        <w:t>el Procurador General de la Nación o el Defensor del Pueblo, cuando justifiquen la necesidad de unificar la jurisprudencia o de lograr justicia material en un caso concreto, al igual que las partes o interesados en el proceso penal.</w:t>
      </w:r>
    </w:p>
    <w:p w:rsidR="00BB4039" w:rsidRPr="00B70130" w:rsidRDefault="00BB4039" w:rsidP="00403F43">
      <w:pPr>
        <w:pStyle w:val="Sinespaciado"/>
        <w:spacing w:line="276" w:lineRule="auto"/>
        <w:jc w:val="both"/>
        <w:rPr>
          <w:rFonts w:ascii="Arial" w:hAnsi="Arial" w:cs="Arial"/>
          <w:sz w:val="24"/>
          <w:szCs w:val="24"/>
          <w:lang w:val="es-CO"/>
        </w:rPr>
      </w:pPr>
    </w:p>
    <w:p w:rsidR="00BB4039" w:rsidRPr="00B70130" w:rsidRDefault="00403F43" w:rsidP="00403F43">
      <w:pPr>
        <w:pStyle w:val="Sinespaciado"/>
        <w:spacing w:line="276" w:lineRule="auto"/>
        <w:jc w:val="both"/>
        <w:rPr>
          <w:rFonts w:ascii="Arial" w:hAnsi="Arial" w:cs="Arial"/>
          <w:sz w:val="24"/>
          <w:szCs w:val="24"/>
          <w:lang w:val="es-CO"/>
        </w:rPr>
      </w:pPr>
      <w:r w:rsidRPr="00B70130">
        <w:rPr>
          <w:rFonts w:ascii="Arial" w:hAnsi="Arial" w:cs="Arial"/>
          <w:b/>
          <w:sz w:val="24"/>
          <w:szCs w:val="24"/>
          <w:lang w:val="es-CO"/>
        </w:rPr>
        <w:t xml:space="preserve">ARTÍCULO </w:t>
      </w:r>
      <w:r w:rsidR="00BB4039" w:rsidRPr="00B70130">
        <w:rPr>
          <w:rFonts w:ascii="Arial" w:hAnsi="Arial" w:cs="Arial"/>
          <w:b/>
          <w:sz w:val="24"/>
          <w:szCs w:val="24"/>
          <w:lang w:val="es-CO"/>
        </w:rPr>
        <w:t>5°</w:t>
      </w:r>
      <w:r w:rsidRPr="00B70130">
        <w:rPr>
          <w:rFonts w:ascii="Arial" w:hAnsi="Arial" w:cs="Arial"/>
          <w:b/>
          <w:sz w:val="24"/>
          <w:szCs w:val="24"/>
          <w:lang w:val="es-CO"/>
        </w:rPr>
        <w:t>.</w:t>
      </w:r>
      <w:r w:rsidR="00BB4039" w:rsidRPr="00B70130">
        <w:rPr>
          <w:rFonts w:ascii="Arial" w:hAnsi="Arial" w:cs="Arial"/>
          <w:b/>
          <w:sz w:val="24"/>
          <w:szCs w:val="24"/>
          <w:lang w:val="es-CO"/>
        </w:rPr>
        <w:t xml:space="preserve"> Procedimiento de selección.</w:t>
      </w:r>
      <w:r w:rsidR="00BB4039" w:rsidRPr="00B70130">
        <w:rPr>
          <w:rFonts w:ascii="Arial" w:hAnsi="Arial" w:cs="Arial"/>
          <w:sz w:val="24"/>
          <w:szCs w:val="24"/>
          <w:lang w:val="es-CO"/>
        </w:rPr>
        <w:t xml:space="preserve"> El procedimiento para la selección de los asuntos objeto de revisión será fijado por el Tribunal Nacional de Garantías Constitucionales en Asuntos Penales en su reglamento interno. </w:t>
      </w:r>
    </w:p>
    <w:p w:rsidR="00BB4039" w:rsidRPr="00B70130" w:rsidRDefault="00BB4039" w:rsidP="00403F43">
      <w:pPr>
        <w:pStyle w:val="Sinespaciado"/>
        <w:spacing w:line="276" w:lineRule="auto"/>
        <w:jc w:val="both"/>
        <w:rPr>
          <w:rFonts w:ascii="Arial" w:hAnsi="Arial" w:cs="Arial"/>
          <w:sz w:val="24"/>
          <w:szCs w:val="24"/>
          <w:lang w:val="es-CO"/>
        </w:rPr>
      </w:pPr>
    </w:p>
    <w:p w:rsidR="00BB4039" w:rsidRPr="00B70130" w:rsidRDefault="00403F43" w:rsidP="00403F43">
      <w:pPr>
        <w:pStyle w:val="Sinespaciado"/>
        <w:spacing w:line="276" w:lineRule="auto"/>
        <w:jc w:val="both"/>
        <w:rPr>
          <w:rFonts w:ascii="Arial" w:hAnsi="Arial" w:cs="Arial"/>
          <w:sz w:val="24"/>
          <w:szCs w:val="24"/>
          <w:lang w:val="es-CO"/>
        </w:rPr>
      </w:pPr>
      <w:r w:rsidRPr="00B70130">
        <w:rPr>
          <w:rFonts w:ascii="Arial" w:hAnsi="Arial" w:cs="Arial"/>
          <w:b/>
          <w:sz w:val="24"/>
          <w:szCs w:val="24"/>
          <w:lang w:val="es-CO"/>
        </w:rPr>
        <w:t>ARTÍCULO</w:t>
      </w:r>
      <w:r w:rsidR="00BB4039" w:rsidRPr="00B70130">
        <w:rPr>
          <w:rFonts w:ascii="Arial" w:hAnsi="Arial" w:cs="Arial"/>
          <w:b/>
          <w:sz w:val="24"/>
          <w:szCs w:val="24"/>
          <w:lang w:val="es-CO"/>
        </w:rPr>
        <w:t xml:space="preserve"> 6°</w:t>
      </w:r>
      <w:r w:rsidRPr="00B70130">
        <w:rPr>
          <w:rFonts w:ascii="Arial" w:hAnsi="Arial" w:cs="Arial"/>
          <w:b/>
          <w:sz w:val="24"/>
          <w:szCs w:val="24"/>
          <w:lang w:val="es-CO"/>
        </w:rPr>
        <w:t>.</w:t>
      </w:r>
      <w:r w:rsidR="00BB4039" w:rsidRPr="00B70130">
        <w:rPr>
          <w:rFonts w:ascii="Arial" w:hAnsi="Arial" w:cs="Arial"/>
          <w:b/>
          <w:sz w:val="24"/>
          <w:szCs w:val="24"/>
          <w:lang w:val="es-CO"/>
        </w:rPr>
        <w:t xml:space="preserve"> Medidas provisionales.</w:t>
      </w:r>
      <w:r w:rsidR="00BB4039" w:rsidRPr="00B70130">
        <w:rPr>
          <w:rFonts w:ascii="Arial" w:hAnsi="Arial" w:cs="Arial"/>
          <w:sz w:val="24"/>
          <w:szCs w:val="24"/>
          <w:lang w:val="es-CO"/>
        </w:rPr>
        <w:t xml:space="preserve"> En los casos en los cuales se decida seleccionar para revisión una providencia, el magistrado ponente podrá adoptar, de oficio o a petición de parte, medidas provisionales de suspensión de las medidas y decisiones que hayan sido adoptadas en el proceso, mientras se decide en revisión el tema objeto de debate o cuando desplace a los jueces de garantías. </w:t>
      </w:r>
    </w:p>
    <w:p w:rsidR="00BB4039" w:rsidRPr="00B70130" w:rsidRDefault="00BB4039" w:rsidP="00403F43">
      <w:pPr>
        <w:pStyle w:val="Sinespaciado"/>
        <w:spacing w:line="276" w:lineRule="auto"/>
        <w:jc w:val="both"/>
        <w:rPr>
          <w:rFonts w:ascii="Arial" w:hAnsi="Arial" w:cs="Arial"/>
          <w:sz w:val="24"/>
          <w:szCs w:val="24"/>
          <w:lang w:val="es-CO"/>
        </w:rPr>
      </w:pPr>
    </w:p>
    <w:p w:rsidR="00BB4039" w:rsidRPr="00B70130" w:rsidRDefault="00403F43" w:rsidP="00403F43">
      <w:pPr>
        <w:pStyle w:val="Sinespaciado"/>
        <w:spacing w:line="276" w:lineRule="auto"/>
        <w:jc w:val="both"/>
        <w:rPr>
          <w:rFonts w:ascii="Arial" w:hAnsi="Arial" w:cs="Arial"/>
          <w:sz w:val="24"/>
          <w:szCs w:val="24"/>
          <w:lang w:val="es-CO"/>
        </w:rPr>
      </w:pPr>
      <w:r w:rsidRPr="00B70130">
        <w:rPr>
          <w:rFonts w:ascii="Arial" w:hAnsi="Arial" w:cs="Arial"/>
          <w:b/>
          <w:sz w:val="24"/>
          <w:szCs w:val="24"/>
          <w:lang w:val="es-CO"/>
        </w:rPr>
        <w:t>ARTÍCULO</w:t>
      </w:r>
      <w:r w:rsidR="00BB4039" w:rsidRPr="00B70130">
        <w:rPr>
          <w:rFonts w:ascii="Arial" w:hAnsi="Arial" w:cs="Arial"/>
          <w:b/>
          <w:sz w:val="24"/>
          <w:szCs w:val="24"/>
          <w:lang w:val="es-CO"/>
        </w:rPr>
        <w:t xml:space="preserve"> 7°</w:t>
      </w:r>
      <w:r w:rsidRPr="00B70130">
        <w:rPr>
          <w:rFonts w:ascii="Arial" w:hAnsi="Arial" w:cs="Arial"/>
          <w:b/>
          <w:sz w:val="24"/>
          <w:szCs w:val="24"/>
          <w:lang w:val="es-CO"/>
        </w:rPr>
        <w:t>.</w:t>
      </w:r>
      <w:r w:rsidR="00BB4039" w:rsidRPr="00B70130">
        <w:rPr>
          <w:rFonts w:ascii="Arial" w:hAnsi="Arial" w:cs="Arial"/>
          <w:b/>
          <w:sz w:val="24"/>
          <w:szCs w:val="24"/>
          <w:lang w:val="es-CO"/>
        </w:rPr>
        <w:t xml:space="preserve"> Sentencias interpretativas y de unificación.</w:t>
      </w:r>
      <w:r w:rsidR="00BB4039" w:rsidRPr="00B70130">
        <w:rPr>
          <w:rFonts w:ascii="Arial" w:hAnsi="Arial" w:cs="Arial"/>
          <w:sz w:val="24"/>
          <w:szCs w:val="24"/>
          <w:lang w:val="es-CO"/>
        </w:rPr>
        <w:t xml:space="preserve"> El Tribunal Nacional de Garantías Constitucionales en Asuntos Penales podrá proferir sentencias interpretativas, con el fin de aclarar el sentido o el alcance de una norma, definir su interpretación y evitar vacíos en el ordenamiento jurídico. Estas providencias tendrán fuerza vinculante inclusive respecto de casos diferentes de aquel en que se dicte. </w:t>
      </w:r>
    </w:p>
    <w:p w:rsidR="00BB4039" w:rsidRPr="00B70130" w:rsidRDefault="00BB4039" w:rsidP="00403F43">
      <w:pPr>
        <w:pStyle w:val="Sinespaciado"/>
        <w:spacing w:line="276" w:lineRule="auto"/>
        <w:jc w:val="both"/>
        <w:rPr>
          <w:rFonts w:ascii="Arial" w:hAnsi="Arial" w:cs="Arial"/>
          <w:sz w:val="24"/>
          <w:szCs w:val="24"/>
          <w:lang w:val="es-CO"/>
        </w:rPr>
      </w:pPr>
    </w:p>
    <w:p w:rsidR="00BB4039" w:rsidRPr="00B70130" w:rsidRDefault="00BB4039" w:rsidP="00403F43">
      <w:pPr>
        <w:pStyle w:val="Sinespaciado"/>
        <w:spacing w:line="276" w:lineRule="auto"/>
        <w:jc w:val="center"/>
        <w:rPr>
          <w:rFonts w:ascii="Arial" w:hAnsi="Arial" w:cs="Arial"/>
          <w:b/>
          <w:sz w:val="24"/>
          <w:szCs w:val="24"/>
          <w:lang w:val="es-CO"/>
        </w:rPr>
      </w:pPr>
      <w:r w:rsidRPr="00B70130">
        <w:rPr>
          <w:rFonts w:ascii="Arial" w:hAnsi="Arial" w:cs="Arial"/>
          <w:b/>
          <w:sz w:val="24"/>
          <w:szCs w:val="24"/>
          <w:lang w:val="es-CO"/>
        </w:rPr>
        <w:t>TÍTULO III</w:t>
      </w:r>
    </w:p>
    <w:p w:rsidR="00BB4039" w:rsidRPr="00B70130" w:rsidRDefault="00BB4039" w:rsidP="00403F43">
      <w:pPr>
        <w:pStyle w:val="Sinespaciado"/>
        <w:spacing w:line="276" w:lineRule="auto"/>
        <w:jc w:val="center"/>
        <w:rPr>
          <w:rFonts w:ascii="Arial" w:hAnsi="Arial" w:cs="Arial"/>
          <w:b/>
          <w:sz w:val="24"/>
          <w:szCs w:val="24"/>
          <w:lang w:val="es-CO"/>
        </w:rPr>
      </w:pPr>
      <w:r w:rsidRPr="00B70130">
        <w:rPr>
          <w:rFonts w:ascii="Arial" w:hAnsi="Arial" w:cs="Arial"/>
          <w:b/>
          <w:sz w:val="24"/>
          <w:szCs w:val="24"/>
          <w:lang w:val="es-CO"/>
        </w:rPr>
        <w:t>Conformación, postulación y sistema de elección</w:t>
      </w:r>
    </w:p>
    <w:p w:rsidR="00BB4039" w:rsidRPr="00B70130" w:rsidRDefault="00BB4039" w:rsidP="00403F43">
      <w:pPr>
        <w:pStyle w:val="Sinespaciado"/>
        <w:spacing w:line="276" w:lineRule="auto"/>
        <w:jc w:val="both"/>
        <w:rPr>
          <w:rFonts w:ascii="Arial" w:hAnsi="Arial" w:cs="Arial"/>
          <w:sz w:val="24"/>
          <w:szCs w:val="24"/>
          <w:lang w:val="es-CO"/>
        </w:rPr>
      </w:pPr>
    </w:p>
    <w:p w:rsidR="00BB4039" w:rsidRPr="00B70130" w:rsidRDefault="00403F43" w:rsidP="00403F43">
      <w:pPr>
        <w:pStyle w:val="Sinespaciado"/>
        <w:spacing w:line="276" w:lineRule="auto"/>
        <w:jc w:val="both"/>
        <w:rPr>
          <w:rFonts w:ascii="Arial" w:hAnsi="Arial" w:cs="Arial"/>
          <w:sz w:val="24"/>
          <w:szCs w:val="24"/>
          <w:lang w:val="es-CO"/>
        </w:rPr>
      </w:pPr>
      <w:r w:rsidRPr="00B70130">
        <w:rPr>
          <w:rFonts w:ascii="Arial" w:hAnsi="Arial" w:cs="Arial"/>
          <w:b/>
          <w:sz w:val="24"/>
          <w:szCs w:val="24"/>
          <w:lang w:val="es-CO"/>
        </w:rPr>
        <w:t>ARTÍCULO</w:t>
      </w:r>
      <w:bookmarkStart w:id="1" w:name="1"/>
      <w:bookmarkEnd w:id="1"/>
      <w:r w:rsidR="00BB4039" w:rsidRPr="00B70130">
        <w:rPr>
          <w:rFonts w:ascii="Arial" w:hAnsi="Arial" w:cs="Arial"/>
          <w:b/>
          <w:sz w:val="24"/>
          <w:szCs w:val="24"/>
          <w:lang w:val="es-CO"/>
        </w:rPr>
        <w:t xml:space="preserve"> 8°. Conformación.</w:t>
      </w:r>
      <w:r w:rsidR="00BB4039" w:rsidRPr="00B70130">
        <w:rPr>
          <w:rFonts w:ascii="Arial" w:hAnsi="Arial" w:cs="Arial"/>
          <w:sz w:val="24"/>
          <w:szCs w:val="24"/>
          <w:lang w:val="es-CO"/>
        </w:rPr>
        <w:t xml:space="preserve"> El Tribunal Nacional de Garantías Constitucionales en Asuntos Penales estará integrado por tres (3) magistrados, elegidos para un periodo de ocho (8) años. No podrán ser reelegidos y tampoco podrán ser magistrados de otra Corporación durante el año siguiente a su retiro.</w:t>
      </w:r>
    </w:p>
    <w:p w:rsidR="00BB4039" w:rsidRPr="00B70130" w:rsidRDefault="00BB4039" w:rsidP="00403F43">
      <w:pPr>
        <w:pStyle w:val="Sinespaciado"/>
        <w:spacing w:line="276" w:lineRule="auto"/>
        <w:jc w:val="both"/>
        <w:rPr>
          <w:rFonts w:ascii="Arial" w:hAnsi="Arial" w:cs="Arial"/>
          <w:sz w:val="24"/>
          <w:szCs w:val="24"/>
          <w:lang w:val="es-CO"/>
        </w:rPr>
      </w:pPr>
    </w:p>
    <w:p w:rsidR="00BB4039" w:rsidRPr="00B70130" w:rsidRDefault="00403F43" w:rsidP="00403F43">
      <w:pPr>
        <w:pStyle w:val="Sinespaciado"/>
        <w:spacing w:line="276" w:lineRule="auto"/>
        <w:jc w:val="both"/>
        <w:rPr>
          <w:rFonts w:ascii="Arial" w:hAnsi="Arial" w:cs="Arial"/>
          <w:sz w:val="24"/>
          <w:szCs w:val="24"/>
          <w:lang w:val="es-CO"/>
        </w:rPr>
      </w:pPr>
      <w:r w:rsidRPr="00B70130">
        <w:rPr>
          <w:rFonts w:ascii="Arial" w:hAnsi="Arial" w:cs="Arial"/>
          <w:b/>
          <w:sz w:val="24"/>
          <w:szCs w:val="24"/>
          <w:lang w:val="es-CO"/>
        </w:rPr>
        <w:t>ARTÍCULO</w:t>
      </w:r>
      <w:r w:rsidR="00BB4039" w:rsidRPr="00B70130">
        <w:rPr>
          <w:rFonts w:ascii="Arial" w:hAnsi="Arial" w:cs="Arial"/>
          <w:b/>
          <w:sz w:val="24"/>
          <w:szCs w:val="24"/>
          <w:lang w:val="es-CO"/>
        </w:rPr>
        <w:t xml:space="preserve"> 9°. Sistema de elección.</w:t>
      </w:r>
      <w:r w:rsidR="00BB4039" w:rsidRPr="00B70130">
        <w:rPr>
          <w:rFonts w:ascii="Arial" w:hAnsi="Arial" w:cs="Arial"/>
          <w:sz w:val="24"/>
          <w:szCs w:val="24"/>
          <w:lang w:val="es-CO"/>
        </w:rPr>
        <w:t xml:space="preserve"> La designación de los magistrados del Tribunal Nacional de Garantías Constitucionales en Asuntos Penales se llevará a cabo por la Corte Suprema de Justicia de terna enviada por la Sala Administrativa del Consejo Superior de la Judicatura o quien haga sus veces, de acuerdo a las siguientes reglas: </w:t>
      </w:r>
    </w:p>
    <w:p w:rsidR="00BB4039" w:rsidRPr="00B70130" w:rsidRDefault="00BB4039" w:rsidP="00403F43">
      <w:pPr>
        <w:pStyle w:val="Sinespaciado"/>
        <w:spacing w:line="276" w:lineRule="auto"/>
        <w:jc w:val="both"/>
        <w:rPr>
          <w:rFonts w:ascii="Arial" w:hAnsi="Arial" w:cs="Arial"/>
          <w:sz w:val="24"/>
          <w:szCs w:val="24"/>
          <w:lang w:val="es-CO"/>
        </w:rPr>
      </w:pPr>
    </w:p>
    <w:p w:rsidR="00BB4039" w:rsidRPr="00B70130" w:rsidRDefault="00BB4039" w:rsidP="00403F43">
      <w:pPr>
        <w:pStyle w:val="Sinespaciado"/>
        <w:spacing w:line="276" w:lineRule="auto"/>
        <w:jc w:val="both"/>
        <w:rPr>
          <w:rFonts w:ascii="Arial" w:hAnsi="Arial" w:cs="Arial"/>
          <w:sz w:val="24"/>
          <w:szCs w:val="24"/>
          <w:lang w:val="es-CO"/>
        </w:rPr>
      </w:pPr>
      <w:r w:rsidRPr="00B70130">
        <w:rPr>
          <w:rFonts w:ascii="Arial" w:hAnsi="Arial" w:cs="Arial"/>
          <w:sz w:val="24"/>
          <w:szCs w:val="24"/>
          <w:lang w:val="es-CO"/>
        </w:rPr>
        <w:t>1. La Sala Admin</w:t>
      </w:r>
      <w:r w:rsidR="00403F43" w:rsidRPr="00B70130">
        <w:rPr>
          <w:rFonts w:ascii="Arial" w:hAnsi="Arial" w:cs="Arial"/>
          <w:sz w:val="24"/>
          <w:szCs w:val="24"/>
          <w:lang w:val="es-CO"/>
        </w:rPr>
        <w:t>i</w:t>
      </w:r>
      <w:r w:rsidRPr="00B70130">
        <w:rPr>
          <w:rFonts w:ascii="Arial" w:hAnsi="Arial" w:cs="Arial"/>
          <w:sz w:val="24"/>
          <w:szCs w:val="24"/>
          <w:lang w:val="es-CO"/>
        </w:rPr>
        <w:t xml:space="preserve">strativa del Consejo Superior de la Judicatura o quien haga sus veces integrará una Comisión de Selección conformada por cinco miembros así: dos (2) miembros de la academia expertos en derecho constitucional, derecho penal o derecho internacional humanitario y de los derechos humanos que no ostenten cargo público alguno; dos (2) miembros de organizaciones no gubernamentales o de organizaciones internacionales dedicadas a la defensa y promoción de los derechos humanos; el Defensor del Pueblo o su delegado. </w:t>
      </w:r>
    </w:p>
    <w:p w:rsidR="00BB4039" w:rsidRPr="00B70130" w:rsidRDefault="00BB4039" w:rsidP="00403F43">
      <w:pPr>
        <w:pStyle w:val="Sinespaciado"/>
        <w:spacing w:line="276" w:lineRule="auto"/>
        <w:jc w:val="both"/>
        <w:rPr>
          <w:rFonts w:ascii="Arial" w:hAnsi="Arial" w:cs="Arial"/>
          <w:sz w:val="24"/>
          <w:szCs w:val="24"/>
          <w:lang w:val="es-CO"/>
        </w:rPr>
      </w:pPr>
    </w:p>
    <w:p w:rsidR="00BB4039" w:rsidRPr="00B70130" w:rsidRDefault="00BB4039" w:rsidP="00403F43">
      <w:pPr>
        <w:pStyle w:val="Sinespaciado"/>
        <w:spacing w:line="276" w:lineRule="auto"/>
        <w:jc w:val="both"/>
        <w:rPr>
          <w:rFonts w:ascii="Arial" w:hAnsi="Arial" w:cs="Arial"/>
          <w:sz w:val="24"/>
          <w:szCs w:val="24"/>
          <w:lang w:val="es-CO"/>
        </w:rPr>
      </w:pPr>
      <w:r w:rsidRPr="00B70130">
        <w:rPr>
          <w:rFonts w:ascii="Arial" w:hAnsi="Arial" w:cs="Arial"/>
          <w:sz w:val="24"/>
          <w:szCs w:val="24"/>
          <w:lang w:val="es-CO"/>
        </w:rPr>
        <w:t>2. La Comisión de Selección abrirá y convocará públicamente el respectivo proceso de selección. La selección que realice dicha Comisión se hará de conformidad con los principios de transparencia y prevalencia del mérito, previa audiencia donde se entrevistará de manera pública a los candidatos y en la que se respetará el derecho de la ciudadanía a la oposición. La Comisión seleccionará y conformará una lista con cinco candidatos por cada cargo a proveer, que enviará a la Sala Administrativa del Consejo Superior de la Judicatura o quien haga sus veces. Cada lista estará conformada por</w:t>
      </w:r>
      <w:r w:rsidR="006A1AE1">
        <w:rPr>
          <w:rFonts w:ascii="Arial" w:hAnsi="Arial" w:cs="Arial"/>
          <w:sz w:val="24"/>
          <w:szCs w:val="24"/>
          <w:lang w:val="es-CO"/>
        </w:rPr>
        <w:t xml:space="preserve">: i) </w:t>
      </w:r>
      <w:r w:rsidRPr="00B70130">
        <w:rPr>
          <w:rFonts w:ascii="Arial" w:hAnsi="Arial" w:cs="Arial"/>
          <w:sz w:val="24"/>
          <w:szCs w:val="24"/>
          <w:lang w:val="es-CO"/>
        </w:rPr>
        <w:t xml:space="preserve">abogados </w:t>
      </w:r>
      <w:r w:rsidRPr="00B70130">
        <w:rPr>
          <w:rFonts w:ascii="Arial" w:hAnsi="Arial" w:cs="Arial"/>
          <w:sz w:val="24"/>
          <w:szCs w:val="24"/>
        </w:rPr>
        <w:t>con amplia y específica experiencia en derecho penal; ii) otra de expertos en derecho constitucional, y iii) una última de especialistas en derecho internacional.</w:t>
      </w:r>
    </w:p>
    <w:p w:rsidR="00BB4039" w:rsidRPr="00B70130" w:rsidRDefault="00BB4039" w:rsidP="00403F43">
      <w:pPr>
        <w:pStyle w:val="Sinespaciado"/>
        <w:spacing w:line="276" w:lineRule="auto"/>
        <w:jc w:val="both"/>
        <w:rPr>
          <w:rFonts w:ascii="Arial" w:hAnsi="Arial" w:cs="Arial"/>
          <w:sz w:val="24"/>
          <w:szCs w:val="24"/>
          <w:lang w:val="es-CO"/>
        </w:rPr>
      </w:pPr>
    </w:p>
    <w:p w:rsidR="00BB4039" w:rsidRPr="00B70130" w:rsidRDefault="00BB4039" w:rsidP="00403F43">
      <w:pPr>
        <w:pStyle w:val="Sinespaciado"/>
        <w:spacing w:line="276" w:lineRule="auto"/>
        <w:jc w:val="both"/>
        <w:rPr>
          <w:rFonts w:ascii="Arial" w:hAnsi="Arial" w:cs="Arial"/>
          <w:sz w:val="24"/>
          <w:szCs w:val="24"/>
        </w:rPr>
      </w:pPr>
      <w:r w:rsidRPr="00B70130">
        <w:rPr>
          <w:rFonts w:ascii="Arial" w:hAnsi="Arial" w:cs="Arial"/>
          <w:sz w:val="24"/>
          <w:szCs w:val="24"/>
        </w:rPr>
        <w:t xml:space="preserve">3. En atención a las funciones de protección de los derechos fundamentales, de garantizar la vigencia del Derecho Internacional Humanitario y de unificación de jurisprudencia, la Sala Administrativa del Consejo Superior de la Judicatura </w:t>
      </w:r>
      <w:r w:rsidRPr="00B70130">
        <w:rPr>
          <w:rFonts w:ascii="Arial" w:hAnsi="Arial" w:cs="Arial"/>
          <w:sz w:val="24"/>
          <w:szCs w:val="24"/>
          <w:lang w:val="es-CO"/>
        </w:rPr>
        <w:t>o quien haga sus veces</w:t>
      </w:r>
      <w:r w:rsidRPr="00B70130">
        <w:rPr>
          <w:rFonts w:ascii="Arial" w:hAnsi="Arial" w:cs="Arial"/>
          <w:sz w:val="24"/>
          <w:szCs w:val="24"/>
        </w:rPr>
        <w:t xml:space="preserve"> conformará tres ternas a partir de las listas enviadas por la Comisión así: i) una de abogados con amplia y específica experiencia en derecho penal; ii) otra de expertos en derecho constitucional, y iii) una última de especialistas en derecho internacional. La elección la realizará la Corte Suprema de Justicia. Así mismo, la Sala Administrativa del Consejo Superior de la Judicatura </w:t>
      </w:r>
      <w:r w:rsidRPr="00B70130">
        <w:rPr>
          <w:rFonts w:ascii="Arial" w:hAnsi="Arial" w:cs="Arial"/>
          <w:sz w:val="24"/>
          <w:szCs w:val="24"/>
          <w:lang w:val="es-CO"/>
        </w:rPr>
        <w:t xml:space="preserve">o quien haga </w:t>
      </w:r>
      <w:r w:rsidRPr="00B70130">
        <w:rPr>
          <w:rFonts w:ascii="Arial" w:hAnsi="Arial" w:cs="Arial"/>
          <w:sz w:val="24"/>
          <w:szCs w:val="24"/>
          <w:lang w:val="es-CO"/>
        </w:rPr>
        <w:lastRenderedPageBreak/>
        <w:t>sus veces</w:t>
      </w:r>
      <w:r w:rsidRPr="00B70130">
        <w:rPr>
          <w:rFonts w:ascii="Arial" w:hAnsi="Arial" w:cs="Arial"/>
          <w:sz w:val="24"/>
          <w:szCs w:val="24"/>
        </w:rPr>
        <w:t xml:space="preserve"> velará por que la terna tenga una representación de profesionales con maestría o doctorado.</w:t>
      </w:r>
    </w:p>
    <w:p w:rsidR="00BB4039" w:rsidRPr="00B70130" w:rsidRDefault="00BB4039" w:rsidP="00403F43">
      <w:pPr>
        <w:pStyle w:val="Sinespaciado"/>
        <w:spacing w:line="276" w:lineRule="auto"/>
        <w:jc w:val="both"/>
        <w:rPr>
          <w:rFonts w:ascii="Arial" w:hAnsi="Arial" w:cs="Arial"/>
          <w:sz w:val="24"/>
          <w:szCs w:val="24"/>
        </w:rPr>
      </w:pPr>
    </w:p>
    <w:p w:rsidR="00BB4039" w:rsidRPr="00B70130" w:rsidRDefault="00BB4039" w:rsidP="00403F43">
      <w:pPr>
        <w:pStyle w:val="Sinespaciado"/>
        <w:spacing w:line="276" w:lineRule="auto"/>
        <w:jc w:val="both"/>
        <w:rPr>
          <w:rFonts w:ascii="Arial" w:hAnsi="Arial" w:cs="Arial"/>
          <w:sz w:val="24"/>
          <w:szCs w:val="24"/>
        </w:rPr>
      </w:pPr>
      <w:r w:rsidRPr="00B70130">
        <w:rPr>
          <w:rFonts w:ascii="Arial" w:hAnsi="Arial" w:cs="Arial"/>
          <w:sz w:val="24"/>
          <w:szCs w:val="24"/>
        </w:rPr>
        <w:t>4. Los magistrados del Tribunal Nacional de Garantías Constitucionales en Asuntos Penales deberán cumplir los mismos requisitos exigidos para ser elegido magistrado de una alta Corte.</w:t>
      </w:r>
    </w:p>
    <w:p w:rsidR="00BB4039" w:rsidRPr="00B70130" w:rsidRDefault="00BB4039" w:rsidP="00403F43">
      <w:pPr>
        <w:pStyle w:val="Sinespaciado"/>
        <w:spacing w:line="276" w:lineRule="auto"/>
        <w:jc w:val="both"/>
        <w:rPr>
          <w:rFonts w:ascii="Arial" w:hAnsi="Arial" w:cs="Arial"/>
          <w:sz w:val="24"/>
          <w:szCs w:val="24"/>
          <w:lang w:val="es-CO"/>
        </w:rPr>
      </w:pPr>
    </w:p>
    <w:p w:rsidR="00BB4039" w:rsidRPr="00B70130" w:rsidRDefault="00BB4039" w:rsidP="00403F43">
      <w:pPr>
        <w:pStyle w:val="Sinespaciado"/>
        <w:spacing w:line="276" w:lineRule="auto"/>
        <w:jc w:val="both"/>
        <w:rPr>
          <w:rFonts w:ascii="Arial" w:hAnsi="Arial" w:cs="Arial"/>
          <w:sz w:val="24"/>
          <w:szCs w:val="24"/>
          <w:lang w:val="es-CO"/>
        </w:rPr>
      </w:pPr>
      <w:r w:rsidRPr="00B70130">
        <w:rPr>
          <w:rFonts w:ascii="Arial" w:hAnsi="Arial" w:cs="Arial"/>
          <w:sz w:val="24"/>
          <w:szCs w:val="24"/>
          <w:lang w:val="es-CO"/>
        </w:rPr>
        <w:t xml:space="preserve">5. Además de los requisitos señalados anteriormente, los candidatos a magistrado del Tribunal Nacional de Garantías Constitucionales en Asuntos Penales deberán acreditar el dominio oral y escrito del idioma francés, inglés, alemán o italiano. </w:t>
      </w:r>
    </w:p>
    <w:p w:rsidR="00BB4039" w:rsidRPr="00B70130" w:rsidRDefault="00BB4039" w:rsidP="00403F43">
      <w:pPr>
        <w:pStyle w:val="Sinespaciado"/>
        <w:spacing w:line="276" w:lineRule="auto"/>
        <w:jc w:val="both"/>
        <w:rPr>
          <w:rFonts w:ascii="Arial" w:hAnsi="Arial" w:cs="Arial"/>
          <w:sz w:val="24"/>
          <w:szCs w:val="24"/>
          <w:lang w:val="es-CO"/>
        </w:rPr>
      </w:pPr>
    </w:p>
    <w:p w:rsidR="00BB4039" w:rsidRPr="00B70130" w:rsidRDefault="00BB4039" w:rsidP="00403F43">
      <w:pPr>
        <w:pStyle w:val="Sinespaciado"/>
        <w:spacing w:line="276" w:lineRule="auto"/>
        <w:jc w:val="both"/>
        <w:rPr>
          <w:rFonts w:ascii="Arial" w:hAnsi="Arial" w:cs="Arial"/>
          <w:sz w:val="24"/>
          <w:szCs w:val="24"/>
          <w:lang w:val="es-CO"/>
        </w:rPr>
      </w:pPr>
      <w:r w:rsidRPr="00B70130">
        <w:rPr>
          <w:rFonts w:ascii="Arial" w:hAnsi="Arial" w:cs="Arial"/>
          <w:sz w:val="24"/>
          <w:szCs w:val="24"/>
          <w:lang w:val="es-CO"/>
        </w:rPr>
        <w:t xml:space="preserve">6. Sistema de equivalencias. Los requisitos exigidos para ser magistrado del Tribunal Nacional de Garantías Constitucionales en Asuntos Penales no podrán ser disminuidos ni aumentados. Sin embargo, para los requisitos de experiencia deben aplicarse las siguientes equivalencias: </w:t>
      </w:r>
    </w:p>
    <w:p w:rsidR="00403F43" w:rsidRPr="00B70130" w:rsidRDefault="00403F43" w:rsidP="00403F43">
      <w:pPr>
        <w:pStyle w:val="Sinespaciado"/>
        <w:spacing w:line="276" w:lineRule="auto"/>
        <w:jc w:val="both"/>
        <w:rPr>
          <w:rFonts w:ascii="Arial" w:hAnsi="Arial" w:cs="Arial"/>
          <w:sz w:val="24"/>
          <w:szCs w:val="24"/>
          <w:lang w:val="es-CO"/>
        </w:rPr>
      </w:pPr>
    </w:p>
    <w:p w:rsidR="00BB4039" w:rsidRPr="00B70130" w:rsidRDefault="00BB4039" w:rsidP="00403F43">
      <w:pPr>
        <w:pStyle w:val="Sinespaciado"/>
        <w:spacing w:line="276" w:lineRule="auto"/>
        <w:jc w:val="both"/>
        <w:rPr>
          <w:rFonts w:ascii="Arial" w:hAnsi="Arial" w:cs="Arial"/>
          <w:sz w:val="24"/>
          <w:szCs w:val="24"/>
          <w:lang w:val="es-CO"/>
        </w:rPr>
      </w:pPr>
      <w:r w:rsidRPr="00B70130">
        <w:rPr>
          <w:rFonts w:ascii="Arial" w:hAnsi="Arial" w:cs="Arial"/>
          <w:sz w:val="24"/>
          <w:szCs w:val="24"/>
          <w:lang w:val="es-CO"/>
        </w:rPr>
        <w:t xml:space="preserve">- Un (1) título de posgrado en la modalidad de maestría equivalen a tres (3) años de experiencia profesional, siempre y cuando dicha formación superior corresponda a las funciones propias del cargo a desempeñar y se acredite el respectivo título profesional. </w:t>
      </w:r>
    </w:p>
    <w:p w:rsidR="00403F43" w:rsidRPr="00B70130" w:rsidRDefault="00403F43" w:rsidP="00403F43">
      <w:pPr>
        <w:pStyle w:val="Sinespaciado"/>
        <w:spacing w:line="276" w:lineRule="auto"/>
        <w:jc w:val="both"/>
        <w:rPr>
          <w:rFonts w:ascii="Arial" w:hAnsi="Arial" w:cs="Arial"/>
          <w:sz w:val="24"/>
          <w:szCs w:val="24"/>
          <w:lang w:val="es-CO"/>
        </w:rPr>
      </w:pPr>
    </w:p>
    <w:p w:rsidR="00BB4039" w:rsidRPr="00B70130" w:rsidRDefault="00BB4039" w:rsidP="00403F43">
      <w:pPr>
        <w:pStyle w:val="Sinespaciado"/>
        <w:spacing w:line="276" w:lineRule="auto"/>
        <w:jc w:val="both"/>
        <w:rPr>
          <w:rFonts w:ascii="Arial" w:hAnsi="Arial" w:cs="Arial"/>
          <w:sz w:val="24"/>
          <w:szCs w:val="24"/>
          <w:lang w:val="es-CO"/>
        </w:rPr>
      </w:pPr>
      <w:r w:rsidRPr="00B70130">
        <w:rPr>
          <w:rFonts w:ascii="Arial" w:hAnsi="Arial" w:cs="Arial"/>
          <w:sz w:val="24"/>
          <w:szCs w:val="24"/>
          <w:lang w:val="es-CO"/>
        </w:rPr>
        <w:t xml:space="preserve">- Un (1) título de posgrado en la modalidad de doctorado o pos-doctorado equivalen a diez (10) años de experiencia profesional, siempre y cuando dicha formación superior corresponda a las funciones propias del cargo a desempeñar y se acredite el respectivo título profesional. </w:t>
      </w:r>
    </w:p>
    <w:p w:rsidR="00BB4039" w:rsidRPr="00B70130" w:rsidRDefault="00BB4039" w:rsidP="00403F43">
      <w:pPr>
        <w:pStyle w:val="Sinespaciado"/>
        <w:spacing w:line="276" w:lineRule="auto"/>
        <w:jc w:val="both"/>
        <w:rPr>
          <w:rFonts w:ascii="Arial" w:hAnsi="Arial" w:cs="Arial"/>
          <w:sz w:val="24"/>
          <w:szCs w:val="24"/>
          <w:lang w:val="es-CO"/>
        </w:rPr>
      </w:pPr>
      <w:r w:rsidRPr="00B70130">
        <w:rPr>
          <w:rFonts w:ascii="Arial" w:hAnsi="Arial" w:cs="Arial"/>
          <w:sz w:val="24"/>
          <w:szCs w:val="24"/>
          <w:lang w:val="es-CO"/>
        </w:rPr>
        <w:t>En ningún caso se admitirá la acumulación de más de dos (2) títulos de posgrado para aplicar las equivalencias señaladas en el presente numeral.</w:t>
      </w:r>
    </w:p>
    <w:p w:rsidR="00403F43" w:rsidRPr="00B70130" w:rsidRDefault="00403F43" w:rsidP="00403F43">
      <w:pPr>
        <w:pStyle w:val="Sinespaciado"/>
        <w:spacing w:line="276" w:lineRule="auto"/>
        <w:jc w:val="both"/>
        <w:rPr>
          <w:rFonts w:ascii="Arial" w:hAnsi="Arial" w:cs="Arial"/>
          <w:sz w:val="24"/>
          <w:szCs w:val="24"/>
          <w:lang w:val="es-CO"/>
        </w:rPr>
      </w:pPr>
    </w:p>
    <w:p w:rsidR="00BB4039" w:rsidRPr="00B70130" w:rsidRDefault="00BB4039" w:rsidP="00403F43">
      <w:pPr>
        <w:pStyle w:val="Sinespaciado"/>
        <w:spacing w:line="276" w:lineRule="auto"/>
        <w:jc w:val="both"/>
        <w:rPr>
          <w:rFonts w:ascii="Arial" w:hAnsi="Arial" w:cs="Arial"/>
          <w:sz w:val="24"/>
          <w:szCs w:val="24"/>
          <w:lang w:val="es-CO"/>
        </w:rPr>
      </w:pPr>
      <w:r w:rsidRPr="00B70130">
        <w:rPr>
          <w:rFonts w:ascii="Arial" w:hAnsi="Arial" w:cs="Arial"/>
          <w:sz w:val="24"/>
          <w:szCs w:val="24"/>
          <w:lang w:val="es-CO"/>
        </w:rPr>
        <w:t>7. La Sala Administrativa del Consejo Superior de la Judicatura o quien haga sus veces conformará la respectiva terna de candidatos de acuerdo a los resultados reportados por la Comisión de Selección. La Sala</w:t>
      </w:r>
      <w:r w:rsidR="00403F43" w:rsidRPr="00B70130">
        <w:rPr>
          <w:rFonts w:ascii="Arial" w:hAnsi="Arial" w:cs="Arial"/>
          <w:sz w:val="24"/>
          <w:szCs w:val="24"/>
          <w:lang w:val="es-CO"/>
        </w:rPr>
        <w:t xml:space="preserve"> Administrativa del Consejo Supe</w:t>
      </w:r>
      <w:r w:rsidRPr="00B70130">
        <w:rPr>
          <w:rFonts w:ascii="Arial" w:hAnsi="Arial" w:cs="Arial"/>
          <w:sz w:val="24"/>
          <w:szCs w:val="24"/>
          <w:lang w:val="es-CO"/>
        </w:rPr>
        <w:t xml:space="preserve">rior de la Judicatura o quien haga sus veces reglamentará el proceso de selección de candidatos. </w:t>
      </w:r>
    </w:p>
    <w:p w:rsidR="00403F43" w:rsidRPr="00B70130" w:rsidRDefault="00403F43" w:rsidP="00403F43">
      <w:pPr>
        <w:pStyle w:val="Sinespaciado"/>
        <w:spacing w:line="276" w:lineRule="auto"/>
        <w:jc w:val="both"/>
        <w:rPr>
          <w:rFonts w:ascii="Arial" w:hAnsi="Arial" w:cs="Arial"/>
          <w:sz w:val="24"/>
          <w:szCs w:val="24"/>
          <w:lang w:val="es-CO"/>
        </w:rPr>
      </w:pPr>
    </w:p>
    <w:p w:rsidR="00BB4039" w:rsidRPr="00B70130" w:rsidRDefault="00403F43" w:rsidP="00403F43">
      <w:pPr>
        <w:pStyle w:val="Sinespaciado"/>
        <w:spacing w:line="276" w:lineRule="auto"/>
        <w:jc w:val="both"/>
        <w:rPr>
          <w:rFonts w:ascii="Arial" w:hAnsi="Arial" w:cs="Arial"/>
          <w:sz w:val="24"/>
          <w:szCs w:val="24"/>
          <w:lang w:val="es-CO"/>
        </w:rPr>
      </w:pPr>
      <w:r w:rsidRPr="00B70130">
        <w:rPr>
          <w:rFonts w:ascii="Arial" w:hAnsi="Arial" w:cs="Arial"/>
          <w:b/>
          <w:sz w:val="24"/>
          <w:szCs w:val="24"/>
          <w:lang w:val="es-CO"/>
        </w:rPr>
        <w:lastRenderedPageBreak/>
        <w:t xml:space="preserve">PARÁGRAFO </w:t>
      </w:r>
      <w:r w:rsidR="00BB4039" w:rsidRPr="00B70130">
        <w:rPr>
          <w:rFonts w:ascii="Arial" w:hAnsi="Arial" w:cs="Arial"/>
          <w:b/>
          <w:sz w:val="24"/>
          <w:szCs w:val="24"/>
          <w:lang w:val="es-CO"/>
        </w:rPr>
        <w:t>1°</w:t>
      </w:r>
      <w:r w:rsidRPr="00B70130">
        <w:rPr>
          <w:rFonts w:ascii="Arial" w:hAnsi="Arial" w:cs="Arial"/>
          <w:b/>
          <w:sz w:val="24"/>
          <w:szCs w:val="24"/>
          <w:lang w:val="es-CO"/>
        </w:rPr>
        <w:t>:</w:t>
      </w:r>
      <w:r w:rsidR="00BB4039" w:rsidRPr="00B70130">
        <w:rPr>
          <w:rFonts w:ascii="Arial" w:hAnsi="Arial" w:cs="Arial"/>
          <w:sz w:val="24"/>
          <w:szCs w:val="24"/>
          <w:lang w:val="es-CO"/>
        </w:rPr>
        <w:t xml:space="preserve"> La Sala Administrativa del Consejo Superior de la Judicatura o quien haga sus veces dispondrá los recursos físicos, financieros, humanos y técnicos necesarios para llevar a cabo el proceso de selección de los candidatos.</w:t>
      </w:r>
    </w:p>
    <w:p w:rsidR="00BB4039" w:rsidRPr="00B70130" w:rsidRDefault="00BB4039" w:rsidP="00403F43">
      <w:pPr>
        <w:pStyle w:val="Sinespaciado"/>
        <w:spacing w:line="276" w:lineRule="auto"/>
        <w:jc w:val="both"/>
        <w:rPr>
          <w:rFonts w:ascii="Arial" w:hAnsi="Arial" w:cs="Arial"/>
          <w:sz w:val="24"/>
          <w:szCs w:val="24"/>
          <w:lang w:val="es-CO"/>
        </w:rPr>
      </w:pPr>
    </w:p>
    <w:p w:rsidR="00BB4039" w:rsidRPr="00B70130" w:rsidRDefault="00403F43" w:rsidP="00403F43">
      <w:pPr>
        <w:pStyle w:val="Sinespaciado"/>
        <w:spacing w:line="276" w:lineRule="auto"/>
        <w:jc w:val="both"/>
        <w:rPr>
          <w:rFonts w:ascii="Arial" w:hAnsi="Arial" w:cs="Arial"/>
          <w:sz w:val="24"/>
          <w:szCs w:val="24"/>
          <w:lang w:val="es-CO"/>
        </w:rPr>
      </w:pPr>
      <w:r w:rsidRPr="00B70130">
        <w:rPr>
          <w:rFonts w:ascii="Arial" w:hAnsi="Arial" w:cs="Arial"/>
          <w:b/>
          <w:sz w:val="24"/>
          <w:szCs w:val="24"/>
          <w:lang w:val="es-CO"/>
        </w:rPr>
        <w:t xml:space="preserve">PARÁGRAFO </w:t>
      </w:r>
      <w:r w:rsidR="00BB4039" w:rsidRPr="00B70130">
        <w:rPr>
          <w:rFonts w:ascii="Arial" w:hAnsi="Arial" w:cs="Arial"/>
          <w:b/>
          <w:sz w:val="24"/>
          <w:szCs w:val="24"/>
          <w:lang w:val="es-CO"/>
        </w:rPr>
        <w:t>2°</w:t>
      </w:r>
      <w:r w:rsidRPr="00B70130">
        <w:rPr>
          <w:rFonts w:ascii="Arial" w:hAnsi="Arial" w:cs="Arial"/>
          <w:b/>
          <w:sz w:val="24"/>
          <w:szCs w:val="24"/>
          <w:lang w:val="es-CO"/>
        </w:rPr>
        <w:t>:</w:t>
      </w:r>
      <w:r w:rsidR="00BB4039" w:rsidRPr="00B70130">
        <w:rPr>
          <w:rFonts w:ascii="Arial" w:hAnsi="Arial" w:cs="Arial"/>
          <w:sz w:val="24"/>
          <w:szCs w:val="24"/>
          <w:lang w:val="es-CO"/>
        </w:rPr>
        <w:t xml:space="preserve"> En caso de falta definitiva de alguno de los magistrados del Tribunal, se seguirá el mismo procedimiento señalado en el presente artículo para la selección y designación de quien lo reemplace.</w:t>
      </w:r>
    </w:p>
    <w:p w:rsidR="00BB4039" w:rsidRPr="00B70130" w:rsidRDefault="00BB4039" w:rsidP="00403F43">
      <w:pPr>
        <w:pStyle w:val="Sinespaciado"/>
        <w:spacing w:line="276" w:lineRule="auto"/>
        <w:jc w:val="both"/>
        <w:rPr>
          <w:rFonts w:ascii="Arial" w:hAnsi="Arial" w:cs="Arial"/>
          <w:sz w:val="24"/>
          <w:szCs w:val="24"/>
          <w:lang w:val="es-CO"/>
        </w:rPr>
      </w:pPr>
    </w:p>
    <w:p w:rsidR="00BB4039" w:rsidRPr="00B70130" w:rsidRDefault="00403F43" w:rsidP="00403F43">
      <w:pPr>
        <w:pStyle w:val="Sinespaciado"/>
        <w:spacing w:line="276" w:lineRule="auto"/>
        <w:jc w:val="both"/>
        <w:rPr>
          <w:rFonts w:ascii="Arial" w:hAnsi="Arial" w:cs="Arial"/>
          <w:sz w:val="24"/>
          <w:szCs w:val="24"/>
          <w:lang w:val="es-CO"/>
        </w:rPr>
      </w:pPr>
      <w:r w:rsidRPr="00B70130">
        <w:rPr>
          <w:rFonts w:ascii="Arial" w:hAnsi="Arial" w:cs="Arial"/>
          <w:b/>
          <w:sz w:val="24"/>
          <w:szCs w:val="24"/>
          <w:lang w:val="es-CO"/>
        </w:rPr>
        <w:t xml:space="preserve">PARÁGRAFO </w:t>
      </w:r>
      <w:r w:rsidR="00BB4039" w:rsidRPr="00B70130">
        <w:rPr>
          <w:rFonts w:ascii="Arial" w:hAnsi="Arial" w:cs="Arial"/>
          <w:b/>
          <w:sz w:val="24"/>
          <w:szCs w:val="24"/>
          <w:lang w:val="es-CO"/>
        </w:rPr>
        <w:t>3</w:t>
      </w:r>
      <w:r w:rsidRPr="00B70130">
        <w:rPr>
          <w:rFonts w:ascii="Arial" w:hAnsi="Arial" w:cs="Arial"/>
          <w:b/>
          <w:sz w:val="24"/>
          <w:szCs w:val="24"/>
          <w:lang w:val="es-CO"/>
        </w:rPr>
        <w:t>°:</w:t>
      </w:r>
      <w:r w:rsidR="00BB4039" w:rsidRPr="00B70130">
        <w:rPr>
          <w:rFonts w:ascii="Arial" w:hAnsi="Arial" w:cs="Arial"/>
          <w:sz w:val="24"/>
          <w:szCs w:val="24"/>
          <w:lang w:val="es-CO"/>
        </w:rPr>
        <w:t xml:space="preserve"> Una vez enviada la lista por la comisión de selección la Sala Administrativa del Consejo Superior de la Judicatura deberá conformar la terna dentro del término improrrogable de 15 </w:t>
      </w:r>
      <w:r w:rsidRPr="00B70130">
        <w:rPr>
          <w:rFonts w:ascii="Arial" w:hAnsi="Arial" w:cs="Arial"/>
          <w:sz w:val="24"/>
          <w:szCs w:val="24"/>
          <w:lang w:val="es-CO"/>
        </w:rPr>
        <w:t>días</w:t>
      </w:r>
      <w:r w:rsidR="00BB4039" w:rsidRPr="00B70130">
        <w:rPr>
          <w:rFonts w:ascii="Arial" w:hAnsi="Arial" w:cs="Arial"/>
          <w:sz w:val="24"/>
          <w:szCs w:val="24"/>
          <w:lang w:val="es-CO"/>
        </w:rPr>
        <w:t xml:space="preserve"> siguientes. La Corte Suprema de Justicia deberá realizar la elección de los magistrados dentro de los 30 días siguientes al momento en el cual le haya sido enviada la terna por la Sala Administrativa del Consejo Superior de la Judicatura o por quien haga sus veces. El incumplimiento de este deber será causal de mala conducta. </w:t>
      </w:r>
    </w:p>
    <w:p w:rsidR="00BB4039" w:rsidRPr="00B70130" w:rsidRDefault="00BB4039" w:rsidP="00403F43">
      <w:pPr>
        <w:pStyle w:val="Sinespaciado"/>
        <w:spacing w:line="276" w:lineRule="auto"/>
        <w:jc w:val="both"/>
        <w:rPr>
          <w:rFonts w:ascii="Arial" w:hAnsi="Arial" w:cs="Arial"/>
          <w:sz w:val="24"/>
          <w:szCs w:val="24"/>
          <w:lang w:val="es-CO"/>
        </w:rPr>
      </w:pPr>
    </w:p>
    <w:p w:rsidR="00BB4039" w:rsidRPr="00B70130" w:rsidRDefault="00403F43" w:rsidP="00403F43">
      <w:pPr>
        <w:pStyle w:val="Sinespaciado"/>
        <w:spacing w:line="276" w:lineRule="auto"/>
        <w:jc w:val="both"/>
        <w:rPr>
          <w:rFonts w:ascii="Arial" w:hAnsi="Arial" w:cs="Arial"/>
          <w:sz w:val="24"/>
          <w:szCs w:val="24"/>
          <w:lang w:val="es-CO"/>
        </w:rPr>
      </w:pPr>
      <w:r w:rsidRPr="00B70130">
        <w:rPr>
          <w:rFonts w:ascii="Arial" w:hAnsi="Arial" w:cs="Arial"/>
          <w:b/>
          <w:sz w:val="24"/>
          <w:szCs w:val="24"/>
          <w:lang w:val="es-CO"/>
        </w:rPr>
        <w:t>ARTÍCULO</w:t>
      </w:r>
      <w:r w:rsidR="00BB4039" w:rsidRPr="00B70130">
        <w:rPr>
          <w:rFonts w:ascii="Arial" w:hAnsi="Arial" w:cs="Arial"/>
          <w:b/>
          <w:sz w:val="24"/>
          <w:szCs w:val="24"/>
          <w:lang w:val="es-CO"/>
        </w:rPr>
        <w:t xml:space="preserve"> 10°. Vigencia.</w:t>
      </w:r>
      <w:r w:rsidR="00BB4039" w:rsidRPr="00B70130">
        <w:rPr>
          <w:rFonts w:ascii="Arial" w:hAnsi="Arial" w:cs="Arial"/>
          <w:sz w:val="24"/>
          <w:szCs w:val="24"/>
          <w:lang w:val="es-CO"/>
        </w:rPr>
        <w:t xml:space="preserve"> La presente ley rige a partir de su promulgación</w:t>
      </w:r>
    </w:p>
    <w:p w:rsidR="00B24270" w:rsidRDefault="00B24270" w:rsidP="00BB403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spacing w:val="-3"/>
          <w:lang w:val="es-CO"/>
        </w:rPr>
      </w:pPr>
    </w:p>
    <w:p w:rsidR="00B70130" w:rsidRPr="00B70130" w:rsidRDefault="00B70130" w:rsidP="00B70130">
      <w:pPr>
        <w:widowControl/>
        <w:autoSpaceDE/>
        <w:autoSpaceDN/>
        <w:adjustRightInd/>
        <w:spacing w:after="200" w:line="276" w:lineRule="auto"/>
        <w:jc w:val="both"/>
        <w:rPr>
          <w:rFonts w:ascii="Arial" w:eastAsiaTheme="minorHAnsi" w:hAnsi="Arial" w:cs="Arial"/>
          <w:sz w:val="22"/>
          <w:szCs w:val="22"/>
          <w:lang w:val="es-CO" w:eastAsia="en-US"/>
        </w:rPr>
      </w:pPr>
      <w:r w:rsidRPr="00B70130">
        <w:rPr>
          <w:rFonts w:ascii="Arial" w:eastAsiaTheme="minorHAnsi" w:hAnsi="Arial" w:cs="Arial"/>
          <w:lang w:val="es-CO" w:eastAsia="en-US"/>
        </w:rPr>
        <w:t>En los anteriores términos fue aprobado el presente Proyecto de Ley</w:t>
      </w:r>
      <w:r>
        <w:rPr>
          <w:rFonts w:ascii="Arial" w:eastAsiaTheme="minorHAnsi" w:hAnsi="Arial" w:cs="Arial"/>
          <w:lang w:val="es-CO" w:eastAsia="en-US"/>
        </w:rPr>
        <w:t xml:space="preserve"> Estatutaria </w:t>
      </w:r>
      <w:r w:rsidRPr="00B70130">
        <w:rPr>
          <w:rFonts w:ascii="Arial" w:eastAsiaTheme="minorHAnsi" w:hAnsi="Arial" w:cs="Arial"/>
          <w:lang w:val="es-CO" w:eastAsia="en-US"/>
        </w:rPr>
        <w:t xml:space="preserve"> </w:t>
      </w:r>
      <w:r w:rsidR="002E3F29">
        <w:rPr>
          <w:rFonts w:ascii="Arial" w:eastAsiaTheme="minorHAnsi" w:hAnsi="Arial" w:cs="Arial"/>
          <w:lang w:val="es-CO" w:eastAsia="en-US"/>
        </w:rPr>
        <w:t xml:space="preserve">sin </w:t>
      </w:r>
      <w:r w:rsidRPr="00B70130">
        <w:rPr>
          <w:rFonts w:ascii="Arial" w:eastAsiaTheme="minorHAnsi" w:hAnsi="Arial" w:cs="Arial"/>
          <w:lang w:val="es-CO" w:eastAsia="en-US"/>
        </w:rPr>
        <w:t>modificaciones según consta en el Acta No. 41 de abril 14/15. Así mismo fue anunciado el día 0</w:t>
      </w:r>
      <w:r>
        <w:rPr>
          <w:rFonts w:ascii="Arial" w:eastAsiaTheme="minorHAnsi" w:hAnsi="Arial" w:cs="Arial"/>
          <w:lang w:val="es-CO" w:eastAsia="en-US"/>
        </w:rPr>
        <w:t>2</w:t>
      </w:r>
      <w:r w:rsidRPr="00B70130">
        <w:rPr>
          <w:rFonts w:ascii="Arial" w:eastAsiaTheme="minorHAnsi" w:hAnsi="Arial" w:cs="Arial"/>
          <w:lang w:val="es-CO" w:eastAsia="en-US"/>
        </w:rPr>
        <w:t xml:space="preserve"> de diciembre de 2.014 según Acta No. 3</w:t>
      </w:r>
      <w:r>
        <w:rPr>
          <w:rFonts w:ascii="Arial" w:eastAsiaTheme="minorHAnsi" w:hAnsi="Arial" w:cs="Arial"/>
          <w:lang w:val="es-CO" w:eastAsia="en-US"/>
        </w:rPr>
        <w:t>0</w:t>
      </w:r>
      <w:r w:rsidRPr="00B70130">
        <w:rPr>
          <w:rFonts w:ascii="Arial" w:eastAsiaTheme="minorHAnsi" w:hAnsi="Arial" w:cs="Arial"/>
          <w:lang w:val="es-CO" w:eastAsia="en-US"/>
        </w:rPr>
        <w:t xml:space="preserve"> de esa misma fecha y el 08 de abril de 2015 según Acta No. 40 de esa misma fecha.</w:t>
      </w:r>
      <w:r w:rsidRPr="00B70130">
        <w:rPr>
          <w:rFonts w:ascii="Arial" w:eastAsiaTheme="minorHAnsi" w:hAnsi="Arial" w:cs="Arial"/>
          <w:sz w:val="22"/>
          <w:szCs w:val="22"/>
          <w:lang w:val="es-CO" w:eastAsia="en-US"/>
        </w:rPr>
        <w:t xml:space="preserve"> </w:t>
      </w:r>
    </w:p>
    <w:p w:rsidR="00B70130" w:rsidRPr="00B70130" w:rsidRDefault="00B70130" w:rsidP="00B701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Theme="minorHAnsi" w:eastAsiaTheme="minorHAnsi" w:hAnsiTheme="minorHAnsi" w:cstheme="minorBidi"/>
          <w:sz w:val="22"/>
          <w:szCs w:val="22"/>
          <w:lang w:val="es-CO" w:eastAsia="en-US"/>
        </w:rPr>
      </w:pPr>
    </w:p>
    <w:p w:rsidR="00B70130" w:rsidRDefault="006A1AE1" w:rsidP="00B701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 xml:space="preserve"> </w:t>
      </w:r>
    </w:p>
    <w:p w:rsidR="00B70130" w:rsidRPr="004C15F6" w:rsidRDefault="003C08E3" w:rsidP="00B701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Theme="minorHAnsi" w:hAnsi="Arial" w:cs="Arial"/>
          <w:b/>
          <w:sz w:val="22"/>
          <w:szCs w:val="22"/>
          <w:lang w:val="es-CO" w:eastAsia="en-US"/>
        </w:rPr>
      </w:pPr>
      <w:r w:rsidRPr="004C15F6">
        <w:rPr>
          <w:rFonts w:ascii="Arial" w:eastAsiaTheme="minorHAnsi" w:hAnsi="Arial" w:cs="Arial"/>
          <w:b/>
          <w:sz w:val="22"/>
          <w:szCs w:val="22"/>
          <w:lang w:val="es-CO" w:eastAsia="en-US"/>
        </w:rPr>
        <w:t>JUAN CARLOS LOSADA</w:t>
      </w:r>
      <w:r w:rsidRPr="004C15F6">
        <w:rPr>
          <w:rFonts w:ascii="Arial" w:eastAsiaTheme="minorHAnsi" w:hAnsi="Arial" w:cs="Arial"/>
          <w:b/>
          <w:sz w:val="22"/>
          <w:szCs w:val="22"/>
          <w:lang w:val="es-CO" w:eastAsia="en-US"/>
        </w:rPr>
        <w:tab/>
      </w:r>
      <w:r w:rsidRPr="004C15F6">
        <w:rPr>
          <w:rFonts w:ascii="Arial" w:eastAsiaTheme="minorHAnsi" w:hAnsi="Arial" w:cs="Arial"/>
          <w:b/>
          <w:sz w:val="22"/>
          <w:szCs w:val="22"/>
          <w:lang w:val="es-CO" w:eastAsia="en-US"/>
        </w:rPr>
        <w:tab/>
      </w:r>
      <w:r w:rsidR="004C15F6" w:rsidRPr="004C15F6">
        <w:rPr>
          <w:rFonts w:ascii="Arial" w:eastAsiaTheme="minorHAnsi" w:hAnsi="Arial" w:cs="Arial"/>
          <w:b/>
          <w:sz w:val="22"/>
          <w:szCs w:val="22"/>
          <w:lang w:val="es-CO" w:eastAsia="en-US"/>
        </w:rPr>
        <w:tab/>
      </w:r>
      <w:r w:rsidR="006A1AE1">
        <w:rPr>
          <w:rFonts w:ascii="Arial" w:eastAsiaTheme="minorHAnsi" w:hAnsi="Arial" w:cs="Arial"/>
          <w:b/>
          <w:sz w:val="22"/>
          <w:szCs w:val="22"/>
          <w:lang w:val="es-CO" w:eastAsia="en-US"/>
        </w:rPr>
        <w:t xml:space="preserve">              </w:t>
      </w:r>
      <w:r w:rsidRPr="004C15F6">
        <w:rPr>
          <w:rFonts w:ascii="Arial" w:eastAsiaTheme="minorHAnsi" w:hAnsi="Arial" w:cs="Arial"/>
          <w:b/>
          <w:sz w:val="22"/>
          <w:szCs w:val="22"/>
          <w:lang w:val="es-CO" w:eastAsia="en-US"/>
        </w:rPr>
        <w:t>JOSE E. CAICEDO SASTOQUE</w:t>
      </w:r>
    </w:p>
    <w:p w:rsidR="003C08E3" w:rsidRPr="004C15F6" w:rsidRDefault="004C15F6" w:rsidP="00B701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Theme="minorHAnsi" w:hAnsi="Arial" w:cs="Arial"/>
          <w:sz w:val="22"/>
          <w:szCs w:val="22"/>
          <w:lang w:val="es-CO" w:eastAsia="en-US"/>
        </w:rPr>
      </w:pPr>
      <w:r w:rsidRPr="004C15F6">
        <w:rPr>
          <w:rFonts w:ascii="Arial" w:eastAsiaTheme="minorHAnsi" w:hAnsi="Arial" w:cs="Arial"/>
          <w:sz w:val="22"/>
          <w:szCs w:val="22"/>
          <w:lang w:val="es-CO" w:eastAsia="en-US"/>
        </w:rPr>
        <w:t>Ponente –C-</w:t>
      </w:r>
      <w:r w:rsidRPr="004C15F6">
        <w:rPr>
          <w:rFonts w:ascii="Arial" w:eastAsiaTheme="minorHAnsi" w:hAnsi="Arial" w:cs="Arial"/>
          <w:sz w:val="22"/>
          <w:szCs w:val="22"/>
          <w:lang w:val="es-CO" w:eastAsia="en-US"/>
        </w:rPr>
        <w:tab/>
      </w:r>
      <w:r w:rsidRPr="004C15F6">
        <w:rPr>
          <w:rFonts w:ascii="Arial" w:eastAsiaTheme="minorHAnsi" w:hAnsi="Arial" w:cs="Arial"/>
          <w:sz w:val="22"/>
          <w:szCs w:val="22"/>
          <w:lang w:val="es-CO" w:eastAsia="en-US"/>
        </w:rPr>
        <w:tab/>
      </w:r>
      <w:r w:rsidRPr="004C15F6">
        <w:rPr>
          <w:rFonts w:ascii="Arial" w:eastAsiaTheme="minorHAnsi" w:hAnsi="Arial" w:cs="Arial"/>
          <w:sz w:val="22"/>
          <w:szCs w:val="22"/>
          <w:lang w:val="es-CO" w:eastAsia="en-US"/>
        </w:rPr>
        <w:tab/>
      </w:r>
      <w:r w:rsidRPr="004C15F6">
        <w:rPr>
          <w:rFonts w:ascii="Arial" w:eastAsiaTheme="minorHAnsi" w:hAnsi="Arial" w:cs="Arial"/>
          <w:sz w:val="22"/>
          <w:szCs w:val="22"/>
          <w:lang w:val="es-CO" w:eastAsia="en-US"/>
        </w:rPr>
        <w:tab/>
      </w:r>
      <w:r w:rsidRPr="004C15F6">
        <w:rPr>
          <w:rFonts w:ascii="Arial" w:eastAsiaTheme="minorHAnsi" w:hAnsi="Arial" w:cs="Arial"/>
          <w:sz w:val="22"/>
          <w:szCs w:val="22"/>
          <w:lang w:val="es-CO" w:eastAsia="en-US"/>
        </w:rPr>
        <w:tab/>
      </w:r>
      <w:r w:rsidR="006A1AE1">
        <w:rPr>
          <w:rFonts w:ascii="Arial" w:eastAsiaTheme="minorHAnsi" w:hAnsi="Arial" w:cs="Arial"/>
          <w:sz w:val="22"/>
          <w:szCs w:val="22"/>
          <w:lang w:val="es-CO" w:eastAsia="en-US"/>
        </w:rPr>
        <w:t xml:space="preserve">              </w:t>
      </w:r>
      <w:r w:rsidRPr="004C15F6">
        <w:rPr>
          <w:rFonts w:ascii="Arial" w:eastAsiaTheme="minorHAnsi" w:hAnsi="Arial" w:cs="Arial"/>
          <w:sz w:val="22"/>
          <w:szCs w:val="22"/>
          <w:lang w:val="es-CO" w:eastAsia="en-US"/>
        </w:rPr>
        <w:t>Ponente –C-</w:t>
      </w:r>
    </w:p>
    <w:p w:rsidR="00B70130" w:rsidRDefault="00B70130" w:rsidP="00B701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Theme="minorHAnsi" w:hAnsi="Arial" w:cs="Arial"/>
          <w:sz w:val="22"/>
          <w:szCs w:val="22"/>
          <w:lang w:val="es-CO" w:eastAsia="en-US"/>
        </w:rPr>
      </w:pPr>
    </w:p>
    <w:p w:rsidR="006A1AE1" w:rsidRDefault="006A1AE1" w:rsidP="00B701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Theme="minorHAnsi" w:hAnsi="Arial" w:cs="Arial"/>
          <w:sz w:val="22"/>
          <w:szCs w:val="22"/>
          <w:lang w:val="es-CO" w:eastAsia="en-US"/>
        </w:rPr>
      </w:pPr>
    </w:p>
    <w:p w:rsidR="006A1AE1" w:rsidRPr="004C15F6" w:rsidRDefault="006A1AE1" w:rsidP="00B701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Theme="minorHAnsi" w:hAnsi="Arial" w:cs="Arial"/>
          <w:sz w:val="22"/>
          <w:szCs w:val="22"/>
          <w:lang w:val="es-CO" w:eastAsia="en-US"/>
        </w:rPr>
      </w:pPr>
    </w:p>
    <w:p w:rsidR="00B70130" w:rsidRPr="004C15F6" w:rsidRDefault="006A1AE1" w:rsidP="00B701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Theme="minorHAnsi" w:hAnsi="Arial" w:cs="Arial"/>
          <w:b/>
          <w:sz w:val="22"/>
          <w:szCs w:val="22"/>
          <w:lang w:val="es-CO" w:eastAsia="en-US"/>
        </w:rPr>
      </w:pPr>
      <w:r>
        <w:rPr>
          <w:rFonts w:ascii="Arial" w:eastAsiaTheme="minorHAnsi" w:hAnsi="Arial" w:cs="Arial"/>
          <w:b/>
          <w:sz w:val="22"/>
          <w:szCs w:val="22"/>
          <w:lang w:val="es-CO" w:eastAsia="en-US"/>
        </w:rPr>
        <w:t>OSCAR FERNANDO BRAVO R.</w:t>
      </w:r>
      <w:r>
        <w:rPr>
          <w:rFonts w:ascii="Arial" w:eastAsiaTheme="minorHAnsi" w:hAnsi="Arial" w:cs="Arial"/>
          <w:b/>
          <w:sz w:val="22"/>
          <w:szCs w:val="22"/>
          <w:lang w:val="es-CO" w:eastAsia="en-US"/>
        </w:rPr>
        <w:tab/>
      </w:r>
      <w:r>
        <w:rPr>
          <w:rFonts w:ascii="Arial" w:eastAsiaTheme="minorHAnsi" w:hAnsi="Arial" w:cs="Arial"/>
          <w:b/>
          <w:sz w:val="22"/>
          <w:szCs w:val="22"/>
          <w:lang w:val="es-CO" w:eastAsia="en-US"/>
        </w:rPr>
        <w:tab/>
        <w:t xml:space="preserve">             JAIME BUENAHORA FEBRES</w:t>
      </w:r>
    </w:p>
    <w:p w:rsidR="00B70130" w:rsidRPr="004C15F6" w:rsidRDefault="004C15F6" w:rsidP="00B701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Theme="minorHAnsi" w:hAnsi="Arial" w:cs="Arial"/>
          <w:sz w:val="22"/>
          <w:szCs w:val="22"/>
          <w:lang w:val="es-CO" w:eastAsia="en-US"/>
        </w:rPr>
      </w:pPr>
      <w:r w:rsidRPr="004C15F6">
        <w:rPr>
          <w:rFonts w:ascii="Arial" w:eastAsiaTheme="minorHAnsi" w:hAnsi="Arial" w:cs="Arial"/>
          <w:sz w:val="22"/>
          <w:szCs w:val="22"/>
          <w:lang w:val="es-CO" w:eastAsia="en-US"/>
        </w:rPr>
        <w:t xml:space="preserve">Ponente </w:t>
      </w:r>
      <w:r w:rsidR="006A1AE1">
        <w:rPr>
          <w:rFonts w:ascii="Arial" w:eastAsiaTheme="minorHAnsi" w:hAnsi="Arial" w:cs="Arial"/>
          <w:sz w:val="22"/>
          <w:szCs w:val="22"/>
          <w:lang w:val="es-CO" w:eastAsia="en-US"/>
        </w:rPr>
        <w:t>–C-</w:t>
      </w:r>
      <w:r w:rsidR="006A1AE1">
        <w:rPr>
          <w:rFonts w:ascii="Arial" w:eastAsiaTheme="minorHAnsi" w:hAnsi="Arial" w:cs="Arial"/>
          <w:sz w:val="22"/>
          <w:szCs w:val="22"/>
          <w:lang w:val="es-CO" w:eastAsia="en-US"/>
        </w:rPr>
        <w:tab/>
      </w:r>
      <w:r w:rsidR="006A1AE1">
        <w:rPr>
          <w:rFonts w:ascii="Arial" w:eastAsiaTheme="minorHAnsi" w:hAnsi="Arial" w:cs="Arial"/>
          <w:sz w:val="22"/>
          <w:szCs w:val="22"/>
          <w:lang w:val="es-CO" w:eastAsia="en-US"/>
        </w:rPr>
        <w:tab/>
      </w:r>
      <w:r w:rsidR="006A1AE1">
        <w:rPr>
          <w:rFonts w:ascii="Arial" w:eastAsiaTheme="minorHAnsi" w:hAnsi="Arial" w:cs="Arial"/>
          <w:sz w:val="22"/>
          <w:szCs w:val="22"/>
          <w:lang w:val="es-CO" w:eastAsia="en-US"/>
        </w:rPr>
        <w:tab/>
      </w:r>
      <w:r w:rsidR="006A1AE1">
        <w:rPr>
          <w:rFonts w:ascii="Arial" w:eastAsiaTheme="minorHAnsi" w:hAnsi="Arial" w:cs="Arial"/>
          <w:sz w:val="22"/>
          <w:szCs w:val="22"/>
          <w:lang w:val="es-CO" w:eastAsia="en-US"/>
        </w:rPr>
        <w:tab/>
      </w:r>
      <w:r w:rsidR="006A1AE1">
        <w:rPr>
          <w:rFonts w:ascii="Arial" w:eastAsiaTheme="minorHAnsi" w:hAnsi="Arial" w:cs="Arial"/>
          <w:sz w:val="22"/>
          <w:szCs w:val="22"/>
          <w:lang w:val="es-CO" w:eastAsia="en-US"/>
        </w:rPr>
        <w:tab/>
        <w:t xml:space="preserve">             Presidente</w:t>
      </w:r>
    </w:p>
    <w:p w:rsidR="004C15F6" w:rsidRPr="004C15F6" w:rsidRDefault="004C15F6"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spacing w:val="-3"/>
          <w:sz w:val="22"/>
          <w:szCs w:val="22"/>
        </w:rPr>
      </w:pPr>
    </w:p>
    <w:p w:rsidR="004C15F6" w:rsidRPr="004C15F6" w:rsidRDefault="004C15F6"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spacing w:val="-3"/>
          <w:sz w:val="22"/>
          <w:szCs w:val="22"/>
        </w:rPr>
      </w:pPr>
    </w:p>
    <w:p w:rsidR="004C15F6" w:rsidRPr="004C15F6" w:rsidRDefault="004C15F6" w:rsidP="006A1A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Arial" w:hAnsi="Arial" w:cs="Arial"/>
          <w:spacing w:val="-3"/>
          <w:sz w:val="22"/>
          <w:szCs w:val="22"/>
        </w:rPr>
      </w:pPr>
    </w:p>
    <w:p w:rsidR="004C15F6" w:rsidRDefault="00B70130" w:rsidP="006A1A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center"/>
        <w:rPr>
          <w:rFonts w:ascii="Arial" w:eastAsiaTheme="minorHAnsi" w:hAnsi="Arial" w:cs="Arial"/>
          <w:b/>
          <w:sz w:val="22"/>
          <w:szCs w:val="22"/>
          <w:lang w:val="es-CO" w:eastAsia="en-US"/>
        </w:rPr>
      </w:pPr>
      <w:r w:rsidRPr="004C15F6">
        <w:rPr>
          <w:rFonts w:ascii="Arial" w:eastAsiaTheme="minorHAnsi" w:hAnsi="Arial" w:cs="Arial"/>
          <w:b/>
          <w:sz w:val="22"/>
          <w:szCs w:val="22"/>
          <w:lang w:val="es-CO" w:eastAsia="en-US"/>
        </w:rPr>
        <w:t>AMPARO</w:t>
      </w:r>
      <w:r w:rsidR="004C15F6">
        <w:rPr>
          <w:rFonts w:ascii="Arial" w:eastAsiaTheme="minorHAnsi" w:hAnsi="Arial" w:cs="Arial"/>
          <w:b/>
          <w:sz w:val="22"/>
          <w:szCs w:val="22"/>
          <w:lang w:val="es-CO" w:eastAsia="en-US"/>
        </w:rPr>
        <w:t xml:space="preserve"> </w:t>
      </w:r>
      <w:r w:rsidRPr="004C15F6">
        <w:rPr>
          <w:rFonts w:ascii="Arial" w:eastAsiaTheme="minorHAnsi" w:hAnsi="Arial" w:cs="Arial"/>
          <w:b/>
          <w:sz w:val="22"/>
          <w:szCs w:val="22"/>
          <w:lang w:val="es-CO" w:eastAsia="en-US"/>
        </w:rPr>
        <w:t>Y</w:t>
      </w:r>
      <w:r w:rsidR="004C15F6">
        <w:rPr>
          <w:rFonts w:ascii="Arial" w:eastAsiaTheme="minorHAnsi" w:hAnsi="Arial" w:cs="Arial"/>
          <w:b/>
          <w:sz w:val="22"/>
          <w:szCs w:val="22"/>
          <w:lang w:val="es-CO" w:eastAsia="en-US"/>
        </w:rPr>
        <w:t xml:space="preserve">. </w:t>
      </w:r>
      <w:r w:rsidRPr="004C15F6">
        <w:rPr>
          <w:rFonts w:ascii="Arial" w:eastAsiaTheme="minorHAnsi" w:hAnsi="Arial" w:cs="Arial"/>
          <w:b/>
          <w:sz w:val="22"/>
          <w:szCs w:val="22"/>
          <w:lang w:val="es-CO" w:eastAsia="en-US"/>
        </w:rPr>
        <w:t>CALDERON PERDOMO</w:t>
      </w:r>
    </w:p>
    <w:p w:rsidR="00B70130" w:rsidRPr="004C15F6" w:rsidRDefault="00B70130" w:rsidP="00C063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center"/>
        <w:rPr>
          <w:rFonts w:ascii="Arial" w:hAnsi="Arial" w:cs="Arial"/>
          <w:spacing w:val="-3"/>
          <w:sz w:val="22"/>
          <w:szCs w:val="22"/>
        </w:rPr>
      </w:pPr>
      <w:r w:rsidRPr="00B70130">
        <w:rPr>
          <w:rFonts w:ascii="Arial" w:eastAsiaTheme="minorHAnsi" w:hAnsi="Arial" w:cs="Arial"/>
          <w:sz w:val="22"/>
          <w:szCs w:val="22"/>
          <w:lang w:val="es-CO" w:eastAsia="en-US"/>
        </w:rPr>
        <w:t>Secretaria</w:t>
      </w:r>
      <w:bookmarkStart w:id="2" w:name="OLE_LINK2"/>
      <w:bookmarkStart w:id="3" w:name="OLE_LINK1"/>
      <w:bookmarkStart w:id="4" w:name="OLE_LINK27"/>
      <w:bookmarkStart w:id="5" w:name="OLE_LINK28"/>
      <w:bookmarkStart w:id="6" w:name="_GoBack"/>
      <w:bookmarkEnd w:id="2"/>
      <w:bookmarkEnd w:id="3"/>
      <w:bookmarkEnd w:id="4"/>
      <w:bookmarkEnd w:id="5"/>
      <w:bookmarkEnd w:id="6"/>
    </w:p>
    <w:sectPr w:rsidR="00B70130" w:rsidRPr="004C15F6" w:rsidSect="00BE0744">
      <w:headerReference w:type="default" r:id="rId8"/>
      <w:footerReference w:type="default" r:id="rId9"/>
      <w:pgSz w:w="12240" w:h="15840" w:code="1"/>
      <w:pgMar w:top="2268" w:right="1701" w:bottom="1418" w:left="1701" w:header="851" w:footer="1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4EE" w:rsidRDefault="003114EE" w:rsidP="00E867DC">
      <w:r>
        <w:separator/>
      </w:r>
    </w:p>
  </w:endnote>
  <w:endnote w:type="continuationSeparator" w:id="0">
    <w:p w:rsidR="003114EE" w:rsidRDefault="003114EE" w:rsidP="00E8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F43" w:rsidRDefault="00403F43" w:rsidP="00BE0744">
    <w:pPr>
      <w:pStyle w:val="Piedepgina"/>
      <w:spacing w:line="276" w:lineRule="auto"/>
      <w:jc w:val="center"/>
      <w:rPr>
        <w:sz w:val="18"/>
        <w:szCs w:val="18"/>
        <w:lang w:val="es-CO"/>
      </w:rPr>
    </w:pPr>
  </w:p>
  <w:p w:rsidR="00BE0744" w:rsidRDefault="00E867DC" w:rsidP="00BE0744">
    <w:pPr>
      <w:pStyle w:val="Piedepgina"/>
      <w:spacing w:line="276" w:lineRule="auto"/>
      <w:jc w:val="center"/>
      <w:rPr>
        <w:sz w:val="18"/>
        <w:szCs w:val="18"/>
        <w:lang w:val="es-CO"/>
      </w:rPr>
    </w:pPr>
    <w:r w:rsidRPr="00E867DC">
      <w:rPr>
        <w:sz w:val="18"/>
        <w:szCs w:val="18"/>
        <w:lang w:val="es-CO"/>
      </w:rPr>
      <w:t xml:space="preserve">Comisión </w:t>
    </w:r>
    <w:r w:rsidR="00BE0744">
      <w:rPr>
        <w:sz w:val="18"/>
        <w:szCs w:val="18"/>
        <w:lang w:val="es-CO"/>
      </w:rPr>
      <w:t>Primera</w:t>
    </w:r>
    <w:r w:rsidR="005B5C08">
      <w:rPr>
        <w:sz w:val="18"/>
        <w:szCs w:val="18"/>
        <w:lang w:val="es-CO"/>
      </w:rPr>
      <w:t xml:space="preserve"> Constitucional</w:t>
    </w:r>
    <w:r w:rsidR="00BE0744">
      <w:rPr>
        <w:sz w:val="18"/>
        <w:szCs w:val="18"/>
        <w:lang w:val="es-CO"/>
      </w:rPr>
      <w:t xml:space="preserve"> – Cámara de Representantes</w:t>
    </w:r>
  </w:p>
  <w:p w:rsidR="00BE0744" w:rsidRDefault="00BE0744" w:rsidP="00BE0744">
    <w:pPr>
      <w:pStyle w:val="Piedepgina"/>
      <w:spacing w:line="276" w:lineRule="auto"/>
      <w:jc w:val="center"/>
      <w:rPr>
        <w:sz w:val="18"/>
        <w:szCs w:val="18"/>
        <w:lang w:val="es-CO"/>
      </w:rPr>
    </w:pPr>
    <w:r>
      <w:rPr>
        <w:sz w:val="18"/>
        <w:szCs w:val="18"/>
        <w:lang w:val="es-CO"/>
      </w:rPr>
      <w:t>República de Colombia</w:t>
    </w:r>
  </w:p>
  <w:p w:rsidR="00E867DC" w:rsidRPr="00E867DC" w:rsidRDefault="00BE0744" w:rsidP="00BE0744">
    <w:pPr>
      <w:pStyle w:val="Piedepgina"/>
      <w:spacing w:line="276" w:lineRule="auto"/>
      <w:jc w:val="center"/>
      <w:rPr>
        <w:sz w:val="18"/>
        <w:szCs w:val="18"/>
        <w:lang w:val="es-CO"/>
      </w:rPr>
    </w:pPr>
    <w:proofErr w:type="spellStart"/>
    <w:r>
      <w:rPr>
        <w:sz w:val="18"/>
        <w:szCs w:val="18"/>
        <w:lang w:val="es-CO"/>
      </w:rPr>
      <w:t>Cra</w:t>
    </w:r>
    <w:proofErr w:type="spellEnd"/>
    <w:r>
      <w:rPr>
        <w:sz w:val="18"/>
        <w:szCs w:val="18"/>
        <w:lang w:val="es-CO"/>
      </w:rPr>
      <w:t>. 7ª No.8-68 Piso 2</w:t>
    </w:r>
    <w:r w:rsidR="00E867DC" w:rsidRPr="00E867DC">
      <w:rPr>
        <w:sz w:val="18"/>
        <w:szCs w:val="18"/>
        <w:lang w:val="es-CO"/>
      </w:rPr>
      <w:t>º. Edificio Nue</w:t>
    </w:r>
    <w:r>
      <w:rPr>
        <w:sz w:val="18"/>
        <w:szCs w:val="18"/>
        <w:lang w:val="es-CO"/>
      </w:rPr>
      <w:t>vo del Congreso – Tel: 382 3000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4EE" w:rsidRDefault="003114EE" w:rsidP="00E867DC">
      <w:r>
        <w:separator/>
      </w:r>
    </w:p>
  </w:footnote>
  <w:footnote w:type="continuationSeparator" w:id="0">
    <w:p w:rsidR="003114EE" w:rsidRDefault="003114EE" w:rsidP="00E86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7DC" w:rsidRPr="00E867DC" w:rsidRDefault="00E867DC" w:rsidP="00E867DC">
    <w:pPr>
      <w:pStyle w:val="Encabezado"/>
      <w:jc w:val="center"/>
    </w:pPr>
    <w:r>
      <w:rPr>
        <w:noProof/>
        <w:lang w:val="es-CO" w:eastAsia="es-CO"/>
      </w:rPr>
      <w:drawing>
        <wp:inline distT="0" distB="0" distL="0" distR="0">
          <wp:extent cx="3373747" cy="1144800"/>
          <wp:effectExtent l="0" t="0" r="0" b="0"/>
          <wp:docPr id="3" name="Imagen 3" descr="https://pbs.twimg.com/profile_images/145164080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1451640804/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3837" cy="114483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F2DC9"/>
    <w:multiLevelType w:val="hybridMultilevel"/>
    <w:tmpl w:val="4E8CB07E"/>
    <w:lvl w:ilvl="0" w:tplc="CD3E4082">
      <w:start w:val="1"/>
      <w:numFmt w:val="lowerRoman"/>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nsid w:val="39BC11C0"/>
    <w:multiLevelType w:val="hybridMultilevel"/>
    <w:tmpl w:val="6E7E48E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FE229B4"/>
    <w:multiLevelType w:val="hybridMultilevel"/>
    <w:tmpl w:val="485419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AD103E5"/>
    <w:multiLevelType w:val="hybridMultilevel"/>
    <w:tmpl w:val="4E78CB7C"/>
    <w:lvl w:ilvl="0" w:tplc="CD3E4082">
      <w:start w:val="1"/>
      <w:numFmt w:val="lowerRoman"/>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7DC"/>
    <w:rsid w:val="000136A6"/>
    <w:rsid w:val="000D5B8C"/>
    <w:rsid w:val="00101AFA"/>
    <w:rsid w:val="00140861"/>
    <w:rsid w:val="00185ACC"/>
    <w:rsid w:val="00285CA8"/>
    <w:rsid w:val="002A6285"/>
    <w:rsid w:val="002B60C9"/>
    <w:rsid w:val="002B7BA4"/>
    <w:rsid w:val="002C00A6"/>
    <w:rsid w:val="002E3F29"/>
    <w:rsid w:val="003114EE"/>
    <w:rsid w:val="00380102"/>
    <w:rsid w:val="003C08E3"/>
    <w:rsid w:val="00403936"/>
    <w:rsid w:val="00403F43"/>
    <w:rsid w:val="004C15F6"/>
    <w:rsid w:val="00517559"/>
    <w:rsid w:val="00570B56"/>
    <w:rsid w:val="005B5C08"/>
    <w:rsid w:val="0062004B"/>
    <w:rsid w:val="00647891"/>
    <w:rsid w:val="006575E9"/>
    <w:rsid w:val="006A1AE1"/>
    <w:rsid w:val="00713DE3"/>
    <w:rsid w:val="00767F64"/>
    <w:rsid w:val="007D0BA3"/>
    <w:rsid w:val="007D6D5E"/>
    <w:rsid w:val="00863963"/>
    <w:rsid w:val="00880366"/>
    <w:rsid w:val="008D71BC"/>
    <w:rsid w:val="00906D0E"/>
    <w:rsid w:val="009132C4"/>
    <w:rsid w:val="009209F6"/>
    <w:rsid w:val="00963204"/>
    <w:rsid w:val="00983A98"/>
    <w:rsid w:val="00A10546"/>
    <w:rsid w:val="00AF2F43"/>
    <w:rsid w:val="00B1438C"/>
    <w:rsid w:val="00B230FE"/>
    <w:rsid w:val="00B24270"/>
    <w:rsid w:val="00B70130"/>
    <w:rsid w:val="00BB4039"/>
    <w:rsid w:val="00BE0744"/>
    <w:rsid w:val="00C063C0"/>
    <w:rsid w:val="00C20BE0"/>
    <w:rsid w:val="00CC3F29"/>
    <w:rsid w:val="00CC477B"/>
    <w:rsid w:val="00CD1D3D"/>
    <w:rsid w:val="00D0287E"/>
    <w:rsid w:val="00D26BE3"/>
    <w:rsid w:val="00D51663"/>
    <w:rsid w:val="00D90859"/>
    <w:rsid w:val="00DE63FE"/>
    <w:rsid w:val="00E35B4B"/>
    <w:rsid w:val="00E76748"/>
    <w:rsid w:val="00E867DC"/>
    <w:rsid w:val="00F15EB3"/>
    <w:rsid w:val="00F65A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DD0397-FD2D-4D20-85C7-CC2BEEA9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1BC"/>
    <w:pPr>
      <w:widowControl w:val="0"/>
      <w:autoSpaceDE w:val="0"/>
      <w:autoSpaceDN w:val="0"/>
      <w:adjustRightInd w:val="0"/>
      <w:spacing w:after="0" w:line="240" w:lineRule="auto"/>
    </w:pPr>
    <w:rPr>
      <w:rFonts w:ascii="Times New Roman" w:eastAsia="MS Mincho"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67DC"/>
    <w:pPr>
      <w:tabs>
        <w:tab w:val="center" w:pos="4419"/>
        <w:tab w:val="right" w:pos="8838"/>
      </w:tabs>
    </w:pPr>
  </w:style>
  <w:style w:type="character" w:customStyle="1" w:styleId="EncabezadoCar">
    <w:name w:val="Encabezado Car"/>
    <w:basedOn w:val="Fuentedeprrafopredeter"/>
    <w:link w:val="Encabezado"/>
    <w:uiPriority w:val="99"/>
    <w:rsid w:val="00E867DC"/>
    <w:rPr>
      <w:rFonts w:ascii="Times New Roman" w:eastAsia="MS Mincho" w:hAnsi="Times New Roman" w:cs="Times New Roman"/>
      <w:sz w:val="24"/>
      <w:szCs w:val="24"/>
      <w:lang w:val="es-ES" w:eastAsia="es-ES"/>
    </w:rPr>
  </w:style>
  <w:style w:type="paragraph" w:styleId="Piedepgina">
    <w:name w:val="footer"/>
    <w:basedOn w:val="Normal"/>
    <w:link w:val="PiedepginaCar"/>
    <w:uiPriority w:val="99"/>
    <w:unhideWhenUsed/>
    <w:rsid w:val="00E867DC"/>
    <w:pPr>
      <w:tabs>
        <w:tab w:val="center" w:pos="4419"/>
        <w:tab w:val="right" w:pos="8838"/>
      </w:tabs>
    </w:pPr>
  </w:style>
  <w:style w:type="character" w:customStyle="1" w:styleId="PiedepginaCar">
    <w:name w:val="Pie de página Car"/>
    <w:basedOn w:val="Fuentedeprrafopredeter"/>
    <w:link w:val="Piedepgina"/>
    <w:uiPriority w:val="99"/>
    <w:rsid w:val="00E867DC"/>
    <w:rPr>
      <w:rFonts w:ascii="Times New Roman" w:eastAsia="MS Mincho" w:hAnsi="Times New Roman" w:cs="Times New Roman"/>
      <w:sz w:val="24"/>
      <w:szCs w:val="24"/>
      <w:lang w:val="es-ES" w:eastAsia="es-ES"/>
    </w:rPr>
  </w:style>
  <w:style w:type="paragraph" w:styleId="Textodeglobo">
    <w:name w:val="Balloon Text"/>
    <w:basedOn w:val="Normal"/>
    <w:link w:val="TextodegloboCar"/>
    <w:uiPriority w:val="99"/>
    <w:semiHidden/>
    <w:unhideWhenUsed/>
    <w:rsid w:val="00E867D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67DC"/>
    <w:rPr>
      <w:rFonts w:ascii="Tahoma" w:eastAsia="MS Mincho" w:hAnsi="Tahoma" w:cs="Tahoma"/>
      <w:sz w:val="16"/>
      <w:szCs w:val="16"/>
      <w:lang w:val="es-ES" w:eastAsia="es-ES"/>
    </w:rPr>
  </w:style>
  <w:style w:type="table" w:styleId="Tablaconcuadrcula">
    <w:name w:val="Table Grid"/>
    <w:basedOn w:val="Tablanormal"/>
    <w:uiPriority w:val="59"/>
    <w:rsid w:val="00BE07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unhideWhenUsed/>
    <w:rsid w:val="005B5C08"/>
    <w:rPr>
      <w:rFonts w:eastAsiaTheme="minorEastAsia" w:cstheme="minorBidi"/>
      <w:bCs w:val="0"/>
      <w:iCs w:val="0"/>
      <w:szCs w:val="22"/>
      <w:lang w:val="es-ES"/>
    </w:rPr>
  </w:style>
  <w:style w:type="paragraph" w:styleId="Prrafodelista">
    <w:name w:val="List Paragraph"/>
    <w:basedOn w:val="Normal"/>
    <w:uiPriority w:val="34"/>
    <w:qFormat/>
    <w:rsid w:val="002A6285"/>
    <w:pPr>
      <w:ind w:left="720"/>
      <w:contextualSpacing/>
    </w:pPr>
  </w:style>
  <w:style w:type="paragraph" w:styleId="Sinespaciado">
    <w:name w:val="No Spacing"/>
    <w:uiPriority w:val="1"/>
    <w:qFormat/>
    <w:rsid w:val="008D71BC"/>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AAFE36-D21E-4F63-A792-4B77D5FDA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1647</Words>
  <Characters>9060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soniacortes</cp:lastModifiedBy>
  <cp:revision>9</cp:revision>
  <cp:lastPrinted>2015-04-16T16:37:00Z</cp:lastPrinted>
  <dcterms:created xsi:type="dcterms:W3CDTF">2015-04-15T19:33:00Z</dcterms:created>
  <dcterms:modified xsi:type="dcterms:W3CDTF">2015-04-16T16:38:00Z</dcterms:modified>
</cp:coreProperties>
</file>